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tabs>
          <w:tab w:val="left" w:pos="1982"/>
        </w:tabs>
        <w:adjustRightInd w:val="0"/>
        <w:snapToGrid w:val="0"/>
        <w:spacing w:line="560" w:lineRule="exact"/>
        <w:ind w:firstLine="0"/>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预算绩效评价咨询服务封闭式框架协议采购需求</w:t>
      </w:r>
    </w:p>
    <w:p>
      <w:pPr>
        <w:pStyle w:val="3"/>
        <w:numPr>
          <w:ilvl w:val="0"/>
          <w:numId w:val="0"/>
        </w:numPr>
        <w:spacing w:before="240" w:after="120"/>
        <w:ind w:leftChars="-200" w:firstLine="3855" w:firstLineChars="1200"/>
        <w:jc w:val="both"/>
        <w:rPr>
          <w:rFonts w:ascii="仿宋" w:hAnsi="仿宋" w:eastAsia="仿宋"/>
          <w:sz w:val="32"/>
          <w:szCs w:val="32"/>
        </w:rPr>
      </w:pPr>
      <w:r>
        <w:rPr>
          <w:rFonts w:hint="eastAsia" w:ascii="仿宋" w:hAnsi="仿宋" w:eastAsia="仿宋"/>
          <w:sz w:val="32"/>
          <w:szCs w:val="32"/>
          <w:lang w:val="en-US" w:eastAsia="zh-CN"/>
        </w:rPr>
        <w:t>第一章 资格条件</w:t>
      </w:r>
    </w:p>
    <w:p>
      <w:pPr>
        <w:rPr>
          <w:rFonts w:hint="eastAsia" w:ascii="仿宋" w:hAnsi="仿宋" w:eastAsia="仿宋"/>
          <w:sz w:val="32"/>
          <w:szCs w:val="32"/>
          <w:lang w:val="en-US" w:eastAsia="zh-CN"/>
        </w:rPr>
      </w:pP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1.满足《中华人民共和国政府采购法》第二十二条规定，即：</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w:t>
      </w:r>
      <w:r>
        <w:rPr>
          <w:rFonts w:hint="eastAsia" w:ascii="仿宋" w:hAnsi="仿宋" w:eastAsia="仿宋"/>
          <w:bCs/>
          <w:sz w:val="24"/>
          <w:szCs w:val="24"/>
          <w:lang w:val="en-US" w:eastAsia="zh-CN"/>
        </w:rPr>
        <w:t>供应商</w:t>
      </w:r>
      <w:r>
        <w:rPr>
          <w:rFonts w:hint="eastAsia" w:ascii="仿宋" w:hAnsi="仿宋" w:eastAsia="仿宋"/>
          <w:bCs/>
          <w:sz w:val="24"/>
          <w:szCs w:val="24"/>
        </w:rPr>
        <w:t>，不得参加本项目同一合同项下的政府采购活动。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ascii="仿宋" w:hAnsi="仿宋" w:eastAsia="仿宋"/>
          <w:bCs/>
          <w:sz w:val="24"/>
          <w:szCs w:val="24"/>
          <w:highlight w:val="none"/>
        </w:rPr>
      </w:pPr>
      <w:r>
        <w:rPr>
          <w:rFonts w:hint="eastAsia" w:ascii="仿宋" w:hAnsi="仿宋" w:eastAsia="仿宋"/>
          <w:bCs/>
          <w:sz w:val="24"/>
          <w:szCs w:val="24"/>
          <w:highlight w:val="none"/>
        </w:rPr>
        <w:t>5.落实政府采购政策需满足的资格要求：</w:t>
      </w:r>
      <w:r>
        <w:rPr>
          <w:rFonts w:hint="eastAsia" w:ascii="仿宋" w:hAnsi="仿宋" w:eastAsia="仿宋"/>
          <w:bCs/>
          <w:sz w:val="24"/>
          <w:szCs w:val="24"/>
          <w:highlight w:val="none"/>
          <w:lang w:val="en-US" w:eastAsia="zh-CN"/>
        </w:rPr>
        <w:t>无</w:t>
      </w:r>
    </w:p>
    <w:p>
      <w:pPr>
        <w:widowControl/>
        <w:snapToGrid w:val="0"/>
        <w:spacing w:line="520" w:lineRule="exact"/>
        <w:ind w:firstLine="480" w:firstLineChars="200"/>
        <w:jc w:val="left"/>
        <w:rPr>
          <w:rFonts w:hint="eastAsia" w:ascii="仿宋" w:hAnsi="仿宋" w:eastAsia="仿宋"/>
          <w:bCs/>
          <w:color w:val="auto"/>
          <w:sz w:val="24"/>
          <w:szCs w:val="24"/>
          <w:highlight w:val="none"/>
          <w:lang w:val="en-US" w:eastAsia="zh-CN"/>
        </w:rPr>
      </w:pPr>
      <w:r>
        <w:rPr>
          <w:rFonts w:hint="eastAsia" w:ascii="仿宋" w:hAnsi="仿宋" w:eastAsia="仿宋"/>
          <w:bCs/>
          <w:color w:val="auto"/>
          <w:sz w:val="24"/>
          <w:szCs w:val="24"/>
          <w:highlight w:val="none"/>
        </w:rPr>
        <w:t>6.本项目的特定资格要求：</w:t>
      </w:r>
      <w:r>
        <w:rPr>
          <w:rFonts w:hint="eastAsia" w:ascii="仿宋" w:hAnsi="仿宋" w:eastAsia="仿宋"/>
          <w:bCs/>
          <w:color w:val="auto"/>
          <w:sz w:val="24"/>
          <w:szCs w:val="24"/>
          <w:highlight w:val="none"/>
          <w:lang w:val="en-US" w:eastAsia="zh-CN"/>
        </w:rPr>
        <w:t>如分公司、分支机构或分所参与投标，须提供总公司、总机构或总所出具的唯一授权书</w:t>
      </w:r>
      <w:r>
        <w:rPr>
          <w:rFonts w:ascii="仿宋" w:hAnsi="仿宋" w:eastAsia="仿宋"/>
          <w:bCs/>
          <w:sz w:val="24"/>
          <w:szCs w:val="24"/>
          <w:highlight w:val="none"/>
        </w:rPr>
        <w:t>。</w:t>
      </w:r>
    </w:p>
    <w:p>
      <w:pPr>
        <w:rPr>
          <w:rFonts w:ascii="仿宋" w:hAnsi="仿宋" w:eastAsia="仿宋"/>
          <w:bCs/>
          <w:sz w:val="24"/>
          <w:szCs w:val="24"/>
          <w:highlight w:val="yellow"/>
        </w:rPr>
      </w:pPr>
      <w:r>
        <w:rPr>
          <w:rFonts w:ascii="仿宋" w:hAnsi="仿宋" w:eastAsia="仿宋"/>
          <w:bCs/>
          <w:sz w:val="24"/>
          <w:szCs w:val="24"/>
          <w:highlight w:val="yellow"/>
        </w:rPr>
        <w:br w:type="page"/>
      </w:r>
    </w:p>
    <w:p>
      <w:pPr>
        <w:pStyle w:val="3"/>
        <w:numPr>
          <w:ilvl w:val="0"/>
          <w:numId w:val="0"/>
        </w:numPr>
        <w:spacing w:before="240" w:after="120"/>
        <w:ind w:leftChars="-200"/>
        <w:jc w:val="center"/>
        <w:rPr>
          <w:rFonts w:ascii="仿宋" w:hAnsi="仿宋" w:eastAsia="仿宋"/>
          <w:bCs w:val="0"/>
          <w:sz w:val="28"/>
          <w:szCs w:val="28"/>
          <w:lang w:val="zh-CN"/>
        </w:rPr>
      </w:pPr>
      <w:bookmarkStart w:id="0" w:name="_Toc124771270"/>
      <w:r>
        <w:rPr>
          <w:rFonts w:hint="eastAsia" w:ascii="仿宋" w:hAnsi="仿宋" w:eastAsia="仿宋"/>
          <w:sz w:val="32"/>
          <w:szCs w:val="32"/>
          <w:lang w:val="en-US" w:eastAsia="zh-CN"/>
        </w:rPr>
        <w:t xml:space="preserve">第二章 </w:t>
      </w:r>
      <w:r>
        <w:rPr>
          <w:rFonts w:hint="eastAsia" w:ascii="仿宋" w:hAnsi="仿宋" w:eastAsia="仿宋"/>
          <w:sz w:val="32"/>
          <w:szCs w:val="32"/>
        </w:rPr>
        <w:t>项目服务要求</w:t>
      </w:r>
      <w:bookmarkEnd w:id="0"/>
      <w:bookmarkStart w:id="1" w:name="_Toc338065593"/>
      <w:bookmarkStart w:id="2" w:name="_Toc48134912"/>
      <w:bookmarkStart w:id="3" w:name="_Toc339378679"/>
    </w:p>
    <w:bookmarkEnd w:id="1"/>
    <w:bookmarkEnd w:id="2"/>
    <w:bookmarkEnd w:id="3"/>
    <w:p>
      <w:pPr>
        <w:spacing w:line="360" w:lineRule="auto"/>
        <w:ind w:firstLine="480" w:firstLineChars="200"/>
        <w:rPr>
          <w:rFonts w:hint="eastAsia" w:ascii="仿宋" w:hAnsi="仿宋" w:eastAsia="仿宋"/>
          <w:sz w:val="24"/>
          <w:szCs w:val="24"/>
          <w:lang w:val="en-US" w:eastAsia="zh-CN"/>
        </w:rPr>
      </w:pPr>
      <w:bookmarkStart w:id="4" w:name="_Toc494664993"/>
      <w:bookmarkStart w:id="5" w:name="_Toc494745310"/>
      <w:bookmarkStart w:id="6" w:name="_Toc19256"/>
      <w:bookmarkStart w:id="7" w:name="_Toc494721093"/>
      <w:bookmarkStart w:id="8" w:name="_Toc494665943"/>
      <w:bookmarkStart w:id="9" w:name="_Toc494665546"/>
      <w:bookmarkStart w:id="10" w:name="_Toc494702263"/>
      <w:r>
        <w:rPr>
          <w:rFonts w:hint="eastAsia" w:ascii="仿宋" w:hAnsi="仿宋" w:eastAsia="仿宋"/>
          <w:sz w:val="24"/>
          <w:szCs w:val="24"/>
          <w:lang w:val="en-US" w:eastAsia="zh-CN"/>
        </w:rPr>
        <w:t>供应商响应的服务标准不得低于本章采购需求。供应商须在响应文件中参照《项目服务要求响应、偏离说明表》和《项目服务要求“★”号条款响应、偏离说明表》格式，对采购需求条款进行全面响应。</w:t>
      </w:r>
    </w:p>
    <w:p>
      <w:pPr>
        <w:spacing w:line="360" w:lineRule="auto"/>
        <w:ind w:firstLine="480" w:firstLineChars="200"/>
        <w:rPr>
          <w:rFonts w:hint="eastAsia" w:ascii="仿宋" w:hAnsi="仿宋" w:eastAsia="仿宋"/>
          <w:sz w:val="24"/>
          <w:szCs w:val="24"/>
          <w:lang w:val="zh-CN" w:eastAsia="zh-CN"/>
        </w:rPr>
      </w:pPr>
      <w:r>
        <w:rPr>
          <w:rFonts w:hint="eastAsia" w:ascii="仿宋" w:hAnsi="仿宋" w:eastAsia="仿宋"/>
          <w:sz w:val="24"/>
          <w:szCs w:val="24"/>
          <w:lang w:val="en-US" w:eastAsia="zh-CN"/>
        </w:rPr>
        <w:t>“★”号条款响应内容须按要求提供相应证明文件，否则按照无效响应处理。</w:t>
      </w:r>
    </w:p>
    <w:p>
      <w:pPr>
        <w:pStyle w:val="4"/>
        <w:numPr>
          <w:ilvl w:val="0"/>
          <w:numId w:val="1"/>
        </w:numPr>
        <w:spacing w:before="0" w:after="0" w:line="360" w:lineRule="auto"/>
        <w:ind w:left="616" w:hanging="616"/>
        <w:jc w:val="left"/>
        <w:rPr>
          <w:rFonts w:ascii="仿宋" w:hAnsi="仿宋" w:eastAsia="仿宋" w:cs="Times New Roman"/>
          <w:bCs w:val="0"/>
          <w:sz w:val="28"/>
          <w:szCs w:val="28"/>
          <w:highlight w:val="none"/>
          <w:lang w:val="zh-CN"/>
        </w:rPr>
      </w:pPr>
      <w:bookmarkStart w:id="11" w:name="_Toc25761"/>
      <w:r>
        <w:rPr>
          <w:rFonts w:hint="eastAsia" w:ascii="仿宋" w:hAnsi="仿宋" w:eastAsia="仿宋" w:cs="Times New Roman"/>
          <w:bCs w:val="0"/>
          <w:sz w:val="28"/>
          <w:szCs w:val="28"/>
          <w:highlight w:val="none"/>
          <w:lang w:val="zh-CN"/>
        </w:rPr>
        <w:t>项目概况</w:t>
      </w:r>
      <w:bookmarkEnd w:id="11"/>
    </w:p>
    <w:p>
      <w:pPr>
        <w:spacing w:line="360" w:lineRule="auto"/>
        <w:ind w:firstLine="480" w:firstLineChars="200"/>
        <w:rPr>
          <w:rFonts w:hint="default" w:ascii="仿宋" w:hAnsi="仿宋" w:eastAsia="仿宋"/>
          <w:sz w:val="24"/>
          <w:szCs w:val="24"/>
          <w:lang w:val="en-US" w:eastAsia="zh-CN"/>
        </w:rPr>
      </w:pPr>
      <w:bookmarkStart w:id="12" w:name="_Toc339378680"/>
      <w:bookmarkStart w:id="13" w:name="_Toc338065594"/>
      <w:r>
        <w:rPr>
          <w:rFonts w:hint="eastAsia" w:ascii="仿宋" w:hAnsi="仿宋" w:eastAsia="仿宋"/>
          <w:sz w:val="24"/>
          <w:szCs w:val="24"/>
          <w:lang w:val="en-US" w:eastAsia="zh-CN"/>
        </w:rPr>
        <w:t>1.需求内容：预算绩效评价咨询服务。</w:t>
      </w: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val="en-US" w:eastAsia="zh-CN"/>
        </w:rPr>
        <w:t>2.服务对象：鄂州</w:t>
      </w:r>
      <w:r>
        <w:rPr>
          <w:rFonts w:hint="eastAsia" w:ascii="仿宋" w:hAnsi="仿宋" w:eastAsia="仿宋"/>
          <w:sz w:val="24"/>
          <w:szCs w:val="24"/>
        </w:rPr>
        <w:t>市</w:t>
      </w:r>
      <w:r>
        <w:rPr>
          <w:rFonts w:hint="eastAsia" w:ascii="仿宋" w:hAnsi="仿宋" w:eastAsia="仿宋"/>
          <w:sz w:val="24"/>
          <w:szCs w:val="24"/>
          <w:lang w:val="en-US" w:eastAsia="zh-CN"/>
        </w:rPr>
        <w:t>各级预算</w:t>
      </w:r>
      <w:r>
        <w:rPr>
          <w:rFonts w:hint="eastAsia" w:ascii="仿宋" w:hAnsi="仿宋" w:eastAsia="仿宋"/>
          <w:sz w:val="24"/>
          <w:szCs w:val="24"/>
        </w:rPr>
        <w:t>单位</w:t>
      </w:r>
      <w:bookmarkStart w:id="24" w:name="_GoBack"/>
      <w:bookmarkEnd w:id="24"/>
      <w:r>
        <w:rPr>
          <w:rFonts w:hint="eastAsia" w:ascii="仿宋" w:hAnsi="仿宋" w:eastAsia="仿宋"/>
          <w:sz w:val="24"/>
          <w:szCs w:val="24"/>
          <w:lang w:val="en-US" w:eastAsia="zh-CN"/>
        </w:rPr>
        <w:t>。</w:t>
      </w:r>
    </w:p>
    <w:p>
      <w:pPr>
        <w:spacing w:line="360" w:lineRule="auto"/>
        <w:ind w:firstLine="480" w:firstLineChars="200"/>
        <w:rPr>
          <w:rFonts w:hint="eastAsia" w:ascii="仿宋" w:hAnsi="仿宋" w:eastAsia="仿宋"/>
          <w:b w:val="0"/>
          <w:bCs w:val="0"/>
          <w:color w:val="auto"/>
          <w:sz w:val="24"/>
          <w:szCs w:val="24"/>
          <w:lang w:val="zh-CN" w:eastAsia="zh-CN"/>
        </w:rPr>
      </w:pPr>
      <w:r>
        <w:rPr>
          <w:rFonts w:hint="eastAsia" w:ascii="仿宋" w:hAnsi="仿宋" w:eastAsia="仿宋"/>
          <w:sz w:val="24"/>
          <w:szCs w:val="24"/>
          <w:lang w:val="en-US" w:eastAsia="zh-CN"/>
        </w:rPr>
        <w:t>3.框架协议</w:t>
      </w:r>
      <w:r>
        <w:rPr>
          <w:rFonts w:hint="eastAsia" w:ascii="仿宋" w:hAnsi="仿宋" w:eastAsia="仿宋"/>
          <w:b w:val="0"/>
          <w:bCs w:val="0"/>
          <w:color w:val="auto"/>
          <w:sz w:val="24"/>
          <w:szCs w:val="24"/>
          <w:lang w:val="en-US" w:eastAsia="zh-CN"/>
        </w:rPr>
        <w:t>有效期：</w:t>
      </w:r>
      <w:r>
        <w:rPr>
          <w:rFonts w:hint="eastAsia" w:ascii="仿宋" w:hAnsi="仿宋" w:eastAsia="仿宋"/>
          <w:sz w:val="24"/>
          <w:szCs w:val="24"/>
          <w:highlight w:val="none"/>
          <w:lang w:val="en-US" w:eastAsia="zh-CN"/>
        </w:rPr>
        <w:t>2024年1月1日</w:t>
      </w:r>
      <w:r>
        <w:rPr>
          <w:rFonts w:hint="eastAsia" w:ascii="仿宋" w:hAnsi="仿宋" w:eastAsia="仿宋"/>
          <w:b w:val="0"/>
          <w:bCs w:val="0"/>
          <w:color w:val="auto"/>
          <w:sz w:val="24"/>
          <w:szCs w:val="24"/>
          <w:lang w:val="en-US" w:eastAsia="zh-CN"/>
        </w:rPr>
        <w:t>至2024年12月31日</w:t>
      </w:r>
    </w:p>
    <w:p>
      <w:pPr>
        <w:pStyle w:val="4"/>
        <w:numPr>
          <w:ilvl w:val="0"/>
          <w:numId w:val="1"/>
        </w:numPr>
        <w:spacing w:before="0" w:after="0" w:line="360" w:lineRule="auto"/>
        <w:ind w:left="616" w:hanging="616"/>
        <w:jc w:val="left"/>
        <w:rPr>
          <w:rFonts w:hint="eastAsia" w:ascii="仿宋" w:hAnsi="仿宋" w:eastAsia="宋体"/>
          <w:sz w:val="24"/>
          <w:szCs w:val="24"/>
          <w:lang w:val="en-US" w:eastAsia="zh-CN"/>
        </w:rPr>
      </w:pPr>
      <w:bookmarkStart w:id="14" w:name="_Toc48134913"/>
      <w:bookmarkStart w:id="15" w:name="_Toc14742"/>
      <w:r>
        <w:rPr>
          <w:rFonts w:hint="eastAsia" w:ascii="仿宋" w:hAnsi="仿宋" w:eastAsia="仿宋" w:cs="Times New Roman"/>
          <w:bCs w:val="0"/>
          <w:sz w:val="28"/>
          <w:szCs w:val="28"/>
          <w:highlight w:val="none"/>
          <w:lang w:val="en-US" w:eastAsia="zh-CN"/>
        </w:rPr>
        <w:t>服务</w:t>
      </w:r>
      <w:r>
        <w:rPr>
          <w:rFonts w:hint="eastAsia" w:ascii="仿宋" w:hAnsi="仿宋" w:eastAsia="仿宋" w:cs="Times New Roman"/>
          <w:bCs w:val="0"/>
          <w:sz w:val="28"/>
          <w:szCs w:val="28"/>
          <w:highlight w:val="none"/>
          <w:lang w:val="zh-CN"/>
        </w:rPr>
        <w:t>内容</w:t>
      </w:r>
      <w:bookmarkEnd w:id="14"/>
      <w:r>
        <w:rPr>
          <w:rFonts w:hint="eastAsia" w:ascii="仿宋" w:hAnsi="仿宋" w:eastAsia="仿宋" w:cs="Times New Roman"/>
          <w:bCs w:val="0"/>
          <w:sz w:val="28"/>
          <w:szCs w:val="28"/>
          <w:highlight w:val="none"/>
          <w:lang w:val="en-US" w:eastAsia="zh-CN"/>
        </w:rPr>
        <w:t>和服务要求</w:t>
      </w:r>
      <w:bookmarkEnd w:id="12"/>
      <w:bookmarkEnd w:id="13"/>
      <w:bookmarkEnd w:id="15"/>
      <w:bookmarkStart w:id="16" w:name="_Toc18213"/>
      <w:bookmarkStart w:id="17" w:name="_Toc692"/>
      <w:bookmarkStart w:id="18" w:name="_Toc16212"/>
      <w:bookmarkStart w:id="19" w:name="_Toc16979"/>
      <w:bookmarkStart w:id="20" w:name="_Toc20591"/>
      <w:bookmarkStart w:id="21" w:name="_Toc48134916"/>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val="en-US" w:eastAsia="zh-CN"/>
        </w:rPr>
        <w:t>1.预算绩效评价咨询服务指第三方机构接受采购人委托，为采购人依法依规建立健全预算绩效管理制度，完善绩效指标和标准，有序开展预算绩效管理工作提供专业服务。服务内容涵盖预算绩效事前评估、目标管理、运行监控、绩效评价、结果应用、工作考核等各环节，包括但不限于以下内容：</w:t>
      </w: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val="en-US" w:eastAsia="zh-CN"/>
        </w:rPr>
        <w:t>（一）为预算绩效目标的设定情况提供评价或咨询服务；</w:t>
      </w: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val="en-US" w:eastAsia="zh-CN"/>
        </w:rPr>
        <w:t>（二）为资金投入和使用情况提供评价或咨询服务；</w:t>
      </w: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val="en-US" w:eastAsia="zh-CN"/>
        </w:rPr>
        <w:t>（三）为实现预算绩效目标制定的制度、采取的措施等提供评价或咨询服务；</w:t>
      </w: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val="en-US" w:eastAsia="zh-CN"/>
        </w:rPr>
        <w:t>（四）为绩效目标的实现程度及效果提供评价或咨询服务；</w:t>
      </w: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val="en-US" w:eastAsia="zh-CN"/>
        </w:rPr>
        <w:t>（五）预算绩效管理的其他相关服务。</w:t>
      </w:r>
    </w:p>
    <w:p>
      <w:pPr>
        <w:spacing w:line="360" w:lineRule="auto"/>
        <w:ind w:firstLine="480" w:firstLineChars="200"/>
        <w:rPr>
          <w:rFonts w:hint="default" w:ascii="仿宋" w:hAnsi="仿宋" w:eastAsia="仿宋"/>
          <w:sz w:val="24"/>
          <w:szCs w:val="24"/>
          <w:lang w:val="en-US" w:eastAsia="zh-CN"/>
        </w:rPr>
      </w:pPr>
      <w:r>
        <w:rPr>
          <w:rFonts w:hint="eastAsia" w:ascii="仿宋" w:hAnsi="仿宋" w:eastAsia="仿宋"/>
          <w:sz w:val="24"/>
          <w:szCs w:val="24"/>
          <w:lang w:val="en-US" w:eastAsia="zh-CN"/>
        </w:rPr>
        <w:t>2.预算绩效评价咨询服务须遵守国家法律法规及规范性文件：</w:t>
      </w: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val="en-US" w:eastAsia="zh-CN"/>
        </w:rPr>
        <w:t>《中华人民共和国预算法》</w:t>
      </w:r>
    </w:p>
    <w:p>
      <w:pPr>
        <w:spacing w:line="360" w:lineRule="auto"/>
        <w:ind w:firstLine="480" w:firstLineChars="200"/>
        <w:rPr>
          <w:rFonts w:hint="default"/>
          <w:lang w:val="en-US" w:eastAsia="zh-CN"/>
        </w:rPr>
      </w:pPr>
      <w:r>
        <w:rPr>
          <w:rFonts w:hint="eastAsia" w:ascii="仿宋" w:hAnsi="仿宋" w:eastAsia="仿宋"/>
          <w:sz w:val="24"/>
          <w:szCs w:val="24"/>
          <w:lang w:val="en-US" w:eastAsia="zh-CN"/>
        </w:rPr>
        <w:t>《中华人民共和国预算法实施条例》</w:t>
      </w: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val="en-US" w:eastAsia="zh-CN"/>
        </w:rPr>
        <w:t>《财政支出绩效评价管理暂行办法》（财预[2011]285号）</w:t>
      </w: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val="en-US" w:eastAsia="zh-CN"/>
        </w:rPr>
        <w:t>《关于推进预算绩效管理的指导意见》（财预[2011]416号）</w:t>
      </w: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val="en-US" w:eastAsia="zh-CN"/>
        </w:rPr>
        <w:t>《中共中央 国务院关于全面实施预算绩效管理的意见》</w:t>
      </w: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val="en-US" w:eastAsia="zh-CN"/>
        </w:rPr>
        <w:t>《湖北省财政厅关于印发全面实施预算绩效管理系列制度的通知》（鄂财绩发〔2020〕3号）</w:t>
      </w: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val="en-US" w:eastAsia="zh-CN"/>
        </w:rPr>
        <w:t>湖北省预算绩效管理地方标准</w:t>
      </w:r>
      <w:r>
        <w:rPr>
          <w:rFonts w:ascii="宋体" w:hAnsi="宋体" w:eastAsia="宋体" w:cs="宋体"/>
          <w:sz w:val="24"/>
          <w:szCs w:val="24"/>
        </w:rPr>
        <w:t>DB42/T 1600—2020</w:t>
      </w:r>
      <w:r>
        <w:rPr>
          <w:rFonts w:hint="eastAsia" w:ascii="宋体" w:hAnsi="宋体" w:cs="宋体"/>
          <w:sz w:val="24"/>
          <w:szCs w:val="24"/>
          <w:lang w:eastAsia="zh-CN"/>
        </w:rPr>
        <w:t>、</w:t>
      </w:r>
      <w:r>
        <w:rPr>
          <w:rFonts w:hint="eastAsia" w:ascii="仿宋" w:hAnsi="仿宋" w:eastAsia="仿宋"/>
          <w:sz w:val="24"/>
          <w:szCs w:val="24"/>
          <w:lang w:val="en-US" w:eastAsia="zh-CN"/>
        </w:rPr>
        <w:t>DB42/T 1601.1—2020、DB42/T 1601.2—2020、DB42/T 1601.3—2020、DB42/T 1601.4—2020</w:t>
      </w:r>
    </w:p>
    <w:p>
      <w:pPr>
        <w:spacing w:line="360" w:lineRule="auto"/>
        <w:ind w:firstLine="480" w:firstLineChars="200"/>
        <w:rPr>
          <w:rFonts w:hint="default" w:ascii="仿宋" w:hAnsi="仿宋" w:eastAsia="仿宋"/>
          <w:sz w:val="24"/>
          <w:szCs w:val="24"/>
          <w:lang w:val="en-US" w:eastAsia="zh-CN"/>
        </w:rPr>
      </w:pPr>
      <w:r>
        <w:rPr>
          <w:rFonts w:hint="eastAsia" w:ascii="仿宋" w:hAnsi="仿宋" w:eastAsia="仿宋"/>
          <w:sz w:val="24"/>
          <w:szCs w:val="24"/>
          <w:lang w:val="en-US" w:eastAsia="zh-CN"/>
        </w:rPr>
        <w:t>以及其他湖北省和鄂州市有关预算绩效管理相关的规范性文件。</w:t>
      </w:r>
    </w:p>
    <w:p>
      <w:pPr>
        <w:outlineLvl w:val="9"/>
        <w:rPr>
          <w:rFonts w:hint="default" w:ascii="仿宋_GB2312" w:hAnsi="宋体" w:eastAsia="仿宋_GB2312" w:cs="Times New Roman"/>
          <w:b/>
          <w:bCs/>
          <w:color w:val="auto"/>
          <w:sz w:val="28"/>
          <w:szCs w:val="28"/>
          <w:lang w:val="en-US" w:eastAsia="zh-CN"/>
        </w:rPr>
      </w:pPr>
      <w:r>
        <w:rPr>
          <w:rFonts w:hint="eastAsia" w:ascii="仿宋_GB2312" w:hAnsi="宋体" w:eastAsia="仿宋_GB2312" w:cs="Times New Roman"/>
          <w:b/>
          <w:bCs/>
          <w:color w:val="auto"/>
          <w:sz w:val="28"/>
          <w:szCs w:val="28"/>
          <w:lang w:val="en-US" w:eastAsia="zh-CN"/>
        </w:rPr>
        <w:t>2.服务要求</w:t>
      </w:r>
    </w:p>
    <w:p>
      <w:pPr>
        <w:pStyle w:val="7"/>
        <w:ind w:left="0" w:leftChars="0" w:firstLine="0" w:firstLineChars="0"/>
        <w:jc w:val="left"/>
        <w:rPr>
          <w:rFonts w:hint="eastAsia" w:ascii="仿宋" w:hAnsi="仿宋" w:eastAsia="仿宋"/>
          <w:b/>
          <w:bCs/>
          <w:sz w:val="24"/>
          <w:szCs w:val="24"/>
          <w:lang w:val="en-US" w:eastAsia="zh-CN"/>
        </w:rPr>
      </w:pPr>
      <w:r>
        <w:rPr>
          <w:rFonts w:hint="eastAsia" w:ascii="仿宋" w:hAnsi="仿宋" w:eastAsia="仿宋"/>
          <w:b/>
          <w:bCs/>
          <w:sz w:val="24"/>
          <w:szCs w:val="24"/>
          <w:lang w:val="en-US" w:eastAsia="zh-CN"/>
        </w:rPr>
        <w:t>2.1服务标准</w:t>
      </w:r>
    </w:p>
    <w:p>
      <w:pPr>
        <w:spacing w:line="360" w:lineRule="auto"/>
        <w:ind w:firstLine="480" w:firstLineChars="200"/>
        <w:rPr>
          <w:rFonts w:hint="eastAsia"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供应商提供本项目的预算绩效评价咨询服务应当遵守国家法律法规和地方规范性文件。</w:t>
      </w:r>
    </w:p>
    <w:p>
      <w:pPr>
        <w:spacing w:line="360" w:lineRule="auto"/>
        <w:ind w:firstLine="480" w:firstLineChars="200"/>
        <w:rPr>
          <w:rFonts w:hint="eastAsia"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供应商应</w:t>
      </w:r>
      <w:r>
        <w:rPr>
          <w:rFonts w:hint="eastAsia" w:ascii="仿宋" w:hAnsi="仿宋" w:eastAsia="仿宋"/>
          <w:sz w:val="24"/>
          <w:szCs w:val="24"/>
          <w:lang w:val="en-US" w:eastAsia="zh-CN"/>
        </w:rPr>
        <w:t>根据设定的绩效目标，运用科学、合理的绩效评价指标、评价标准和评价方法，对财政支出（项目支出）的经济性、效率性和效益性进行客观、公正的评价，同时依法提出科学合理预算绩效管理咨询意见，以供采购人依法依规开展预算绩效管理工作。</w:t>
      </w:r>
    </w:p>
    <w:p>
      <w:pPr>
        <w:pStyle w:val="7"/>
        <w:ind w:left="0" w:leftChars="0" w:firstLine="0" w:firstLineChars="0"/>
        <w:jc w:val="left"/>
        <w:rPr>
          <w:rFonts w:hint="eastAsia" w:ascii="仿宋" w:hAnsi="仿宋" w:eastAsia="仿宋"/>
          <w:b/>
          <w:bCs/>
          <w:sz w:val="24"/>
          <w:szCs w:val="24"/>
          <w:highlight w:val="none"/>
          <w:lang w:val="en-US" w:eastAsia="zh-CN"/>
        </w:rPr>
      </w:pPr>
      <w:r>
        <w:rPr>
          <w:rFonts w:hint="eastAsia" w:ascii="仿宋" w:hAnsi="仿宋" w:eastAsia="仿宋"/>
          <w:b/>
          <w:bCs/>
          <w:sz w:val="24"/>
          <w:szCs w:val="24"/>
          <w:highlight w:val="none"/>
          <w:lang w:val="en-US" w:eastAsia="zh-CN"/>
        </w:rPr>
        <w:t>2.2服务人员要求</w:t>
      </w:r>
    </w:p>
    <w:p>
      <w:pPr>
        <w:spacing w:line="360" w:lineRule="auto"/>
        <w:ind w:firstLine="480" w:firstLineChars="200"/>
        <w:rPr>
          <w:rFonts w:hint="eastAsia"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供应商应指派专人负责框架协议政府采购项目联系人。</w:t>
      </w:r>
    </w:p>
    <w:p>
      <w:pPr>
        <w:spacing w:line="360" w:lineRule="auto"/>
        <w:ind w:firstLine="480" w:firstLineChars="200"/>
        <w:rPr>
          <w:rFonts w:hint="eastAsia" w:ascii="仿宋" w:hAnsi="仿宋" w:eastAsia="仿宋"/>
          <w:sz w:val="24"/>
          <w:szCs w:val="24"/>
          <w:highlight w:val="none"/>
          <w:lang w:val="en-US" w:eastAsia="zh-CN"/>
        </w:rPr>
      </w:pPr>
      <w:r>
        <w:rPr>
          <w:rFonts w:hint="eastAsia" w:ascii="仿宋" w:hAnsi="仿宋" w:eastAsia="仿宋"/>
          <w:color w:val="auto"/>
          <w:sz w:val="24"/>
          <w:szCs w:val="24"/>
          <w:highlight w:val="none"/>
          <w:lang w:val="en-US" w:eastAsia="zh-CN"/>
        </w:rPr>
        <w:t>针对采购人的项目具体需求，指派至少两名有相关经验的服务人员为采购人提供相应的服务。</w:t>
      </w:r>
    </w:p>
    <w:p>
      <w:pPr>
        <w:spacing w:line="360" w:lineRule="auto"/>
        <w:ind w:firstLine="480" w:firstLineChars="200"/>
        <w:rPr>
          <w:rFonts w:hint="default"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采购人</w:t>
      </w:r>
      <w:r>
        <w:rPr>
          <w:rFonts w:hint="default" w:ascii="仿宋" w:hAnsi="仿宋" w:eastAsia="仿宋"/>
          <w:color w:val="auto"/>
          <w:sz w:val="24"/>
          <w:szCs w:val="24"/>
          <w:highlight w:val="none"/>
          <w:lang w:val="en-US" w:eastAsia="zh-CN"/>
        </w:rPr>
        <w:t>有权要求相关当事人及</w:t>
      </w:r>
      <w:r>
        <w:rPr>
          <w:rFonts w:hint="eastAsia" w:ascii="仿宋" w:hAnsi="仿宋" w:eastAsia="仿宋"/>
          <w:color w:val="auto"/>
          <w:sz w:val="24"/>
          <w:szCs w:val="24"/>
          <w:highlight w:val="none"/>
          <w:lang w:val="en-US" w:eastAsia="zh-CN"/>
        </w:rPr>
        <w:t>与采购人</w:t>
      </w:r>
      <w:r>
        <w:rPr>
          <w:rFonts w:hint="default" w:ascii="仿宋" w:hAnsi="仿宋" w:eastAsia="仿宋"/>
          <w:color w:val="auto"/>
          <w:sz w:val="24"/>
          <w:szCs w:val="24"/>
          <w:highlight w:val="none"/>
          <w:lang w:val="en-US" w:eastAsia="zh-CN"/>
        </w:rPr>
        <w:t>有利害关系的专业人员回避。</w:t>
      </w:r>
    </w:p>
    <w:p>
      <w:pPr>
        <w:pStyle w:val="7"/>
        <w:ind w:left="0" w:leftChars="0" w:firstLine="0" w:firstLineChars="0"/>
        <w:jc w:val="left"/>
        <w:rPr>
          <w:rFonts w:hint="eastAsia" w:ascii="仿宋" w:hAnsi="仿宋" w:eastAsia="仿宋"/>
          <w:b/>
          <w:bCs/>
          <w:sz w:val="24"/>
          <w:szCs w:val="24"/>
          <w:lang w:val="en-US" w:eastAsia="zh-CN"/>
        </w:rPr>
      </w:pPr>
      <w:r>
        <w:rPr>
          <w:rFonts w:hint="eastAsia" w:ascii="仿宋" w:hAnsi="仿宋" w:eastAsia="仿宋"/>
          <w:b/>
          <w:bCs/>
          <w:sz w:val="24"/>
          <w:szCs w:val="24"/>
          <w:lang w:val="en-US" w:eastAsia="zh-CN"/>
        </w:rPr>
        <w:t>2.3服务的地域范围</w:t>
      </w:r>
    </w:p>
    <w:p>
      <w:pPr>
        <w:spacing w:line="360" w:lineRule="auto"/>
        <w:ind w:firstLine="480" w:firstLineChars="200"/>
        <w:rPr>
          <w:rFonts w:hint="default"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根据采购人具体项目需求在鄂州市范围内提供服务，但不排除根据具体项目实际情况需要赴鄂州市外开展必要的调查、取证、调研论证等服务活动。</w:t>
      </w:r>
    </w:p>
    <w:p>
      <w:pPr>
        <w:pStyle w:val="7"/>
        <w:ind w:left="0" w:leftChars="0" w:firstLine="0" w:firstLineChars="0"/>
        <w:jc w:val="left"/>
        <w:rPr>
          <w:rFonts w:hint="default" w:ascii="仿宋" w:hAnsi="仿宋" w:eastAsia="仿宋"/>
          <w:b/>
          <w:bCs/>
          <w:sz w:val="24"/>
          <w:szCs w:val="24"/>
          <w:lang w:val="en-US" w:eastAsia="zh-CN"/>
        </w:rPr>
      </w:pPr>
      <w:r>
        <w:rPr>
          <w:rFonts w:hint="eastAsia" w:ascii="仿宋" w:hAnsi="仿宋" w:eastAsia="仿宋"/>
          <w:b/>
          <w:bCs/>
          <w:sz w:val="24"/>
          <w:szCs w:val="24"/>
          <w:lang w:val="en-US" w:eastAsia="zh-CN"/>
        </w:rPr>
        <w:t>2.4服务计量方式</w:t>
      </w:r>
    </w:p>
    <w:p>
      <w:pPr>
        <w:spacing w:line="360" w:lineRule="auto"/>
        <w:ind w:firstLine="480" w:firstLineChars="200"/>
        <w:rPr>
          <w:rFonts w:hint="eastAsia"/>
          <w:lang w:val="en-US" w:eastAsia="zh-CN"/>
        </w:rPr>
      </w:pPr>
      <w:r>
        <w:rPr>
          <w:rFonts w:hint="eastAsia" w:ascii="仿宋" w:hAnsi="仿宋" w:eastAsia="仿宋" w:cs="Times New Roman"/>
          <w:color w:val="auto"/>
          <w:sz w:val="24"/>
          <w:szCs w:val="24"/>
          <w:lang w:val="en-US" w:eastAsia="zh-CN"/>
        </w:rPr>
        <w:t>计时计算服务数量，具体服务计量方式根据项目实际情况，由采购人和供应商协商确定。</w:t>
      </w:r>
    </w:p>
    <w:p>
      <w:pPr>
        <w:pStyle w:val="4"/>
        <w:numPr>
          <w:ilvl w:val="0"/>
          <w:numId w:val="1"/>
        </w:numPr>
        <w:spacing w:before="0" w:after="0" w:line="360" w:lineRule="auto"/>
        <w:ind w:left="616" w:hanging="616"/>
        <w:jc w:val="left"/>
        <w:rPr>
          <w:rFonts w:ascii="仿宋" w:hAnsi="仿宋" w:eastAsia="仿宋"/>
          <w:bCs w:val="0"/>
          <w:sz w:val="28"/>
          <w:szCs w:val="28"/>
          <w:highlight w:val="none"/>
          <w:lang w:val="zh-CN"/>
        </w:rPr>
      </w:pPr>
      <w:bookmarkStart w:id="22" w:name="_Toc11065"/>
      <w:r>
        <w:rPr>
          <w:rFonts w:hint="eastAsia" w:ascii="仿宋" w:hAnsi="仿宋" w:eastAsia="仿宋"/>
          <w:bCs w:val="0"/>
          <w:sz w:val="28"/>
          <w:szCs w:val="28"/>
          <w:lang w:val="en-US" w:eastAsia="zh-CN"/>
        </w:rPr>
        <w:t>报价</w:t>
      </w:r>
      <w:r>
        <w:rPr>
          <w:rFonts w:hint="eastAsia" w:ascii="仿宋" w:hAnsi="仿宋" w:eastAsia="仿宋"/>
          <w:bCs w:val="0"/>
          <w:sz w:val="28"/>
          <w:szCs w:val="28"/>
          <w:lang w:val="zh-CN"/>
        </w:rPr>
        <w:t>要</w:t>
      </w:r>
      <w:r>
        <w:rPr>
          <w:rFonts w:hint="eastAsia" w:ascii="仿宋" w:hAnsi="仿宋" w:eastAsia="仿宋"/>
          <w:bCs w:val="0"/>
          <w:sz w:val="28"/>
          <w:szCs w:val="28"/>
          <w:highlight w:val="none"/>
          <w:lang w:val="zh-CN"/>
        </w:rPr>
        <w:t>求</w:t>
      </w:r>
      <w:bookmarkEnd w:id="16"/>
      <w:bookmarkEnd w:id="17"/>
      <w:bookmarkEnd w:id="18"/>
      <w:bookmarkEnd w:id="19"/>
      <w:bookmarkEnd w:id="20"/>
      <w:bookmarkEnd w:id="22"/>
    </w:p>
    <w:bookmarkEnd w:id="21"/>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highlight w:val="none"/>
          <w:lang w:val="en-US" w:eastAsia="zh-CN"/>
        </w:rPr>
        <w:t>供应商根据</w:t>
      </w:r>
      <w:r>
        <w:rPr>
          <w:rFonts w:hint="eastAsia" w:ascii="仿宋" w:hAnsi="仿宋" w:eastAsia="仿宋" w:cs="Times New Roman"/>
          <w:color w:val="auto"/>
          <w:sz w:val="24"/>
          <w:szCs w:val="24"/>
          <w:highlight w:val="none"/>
          <w:lang w:val="en-US" w:eastAsia="zh-CN"/>
        </w:rPr>
        <w:t>计时</w:t>
      </w:r>
      <w:r>
        <w:rPr>
          <w:rFonts w:hint="eastAsia" w:ascii="仿宋" w:hAnsi="仿宋" w:eastAsia="仿宋" w:cs="Times New Roman"/>
          <w:sz w:val="24"/>
          <w:szCs w:val="24"/>
          <w:highlight w:val="none"/>
          <w:lang w:val="en-US" w:eastAsia="zh-CN"/>
        </w:rPr>
        <w:t>收费</w:t>
      </w:r>
      <w:r>
        <w:rPr>
          <w:rFonts w:hint="eastAsia" w:ascii="仿宋" w:hAnsi="仿宋" w:eastAsia="仿宋" w:cs="Times New Roman"/>
          <w:sz w:val="24"/>
          <w:szCs w:val="24"/>
          <w:lang w:val="en-US" w:eastAsia="zh-CN"/>
        </w:rPr>
        <w:t>标准报价</w:t>
      </w:r>
      <w:r>
        <w:rPr>
          <w:rFonts w:hint="eastAsia" w:ascii="仿宋" w:hAnsi="仿宋" w:eastAsia="仿宋" w:cs="Times New Roman"/>
          <w:sz w:val="24"/>
          <w:szCs w:val="24"/>
        </w:rPr>
        <w:t>。报价要求详见下表：</w:t>
      </w:r>
    </w:p>
    <w:tbl>
      <w:tblPr>
        <w:tblStyle w:val="8"/>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3550"/>
        <w:gridCol w:w="1898"/>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7" w:type="dxa"/>
            <w:noWrap w:val="0"/>
            <w:vAlign w:val="center"/>
          </w:tcPr>
          <w:p>
            <w:pPr>
              <w:jc w:val="center"/>
              <w:rPr>
                <w:rFonts w:ascii="仿宋" w:hAnsi="仿宋" w:eastAsia="仿宋" w:cs="Times New Roman"/>
                <w:sz w:val="24"/>
                <w:szCs w:val="24"/>
              </w:rPr>
            </w:pPr>
            <w:r>
              <w:rPr>
                <w:rFonts w:hint="eastAsia" w:ascii="仿宋" w:hAnsi="仿宋" w:eastAsia="仿宋" w:cs="Times New Roman"/>
                <w:sz w:val="24"/>
                <w:szCs w:val="24"/>
              </w:rPr>
              <w:t>序号</w:t>
            </w:r>
          </w:p>
        </w:tc>
        <w:tc>
          <w:tcPr>
            <w:tcW w:w="3550" w:type="dxa"/>
            <w:noWrap w:val="0"/>
            <w:vAlign w:val="center"/>
          </w:tcPr>
          <w:p>
            <w:pPr>
              <w:jc w:val="center"/>
              <w:rPr>
                <w:rFonts w:ascii="仿宋" w:hAnsi="仿宋" w:eastAsia="仿宋" w:cs="Times New Roman"/>
                <w:sz w:val="24"/>
                <w:szCs w:val="24"/>
              </w:rPr>
            </w:pPr>
            <w:r>
              <w:rPr>
                <w:rFonts w:hint="eastAsia" w:ascii="仿宋" w:hAnsi="仿宋" w:eastAsia="仿宋" w:cs="Times New Roman"/>
                <w:sz w:val="24"/>
                <w:szCs w:val="24"/>
              </w:rPr>
              <w:t>人员类别</w:t>
            </w:r>
          </w:p>
        </w:tc>
        <w:tc>
          <w:tcPr>
            <w:tcW w:w="1898" w:type="dxa"/>
            <w:noWrap w:val="0"/>
            <w:vAlign w:val="center"/>
          </w:tcPr>
          <w:p>
            <w:pPr>
              <w:jc w:val="center"/>
              <w:rPr>
                <w:rFonts w:ascii="仿宋" w:hAnsi="仿宋" w:eastAsia="仿宋" w:cs="Times New Roman"/>
                <w:b/>
                <w:sz w:val="24"/>
                <w:szCs w:val="24"/>
              </w:rPr>
            </w:pPr>
            <w:r>
              <w:rPr>
                <w:rFonts w:hint="eastAsia" w:ascii="仿宋" w:hAnsi="仿宋" w:eastAsia="仿宋" w:cs="Times New Roman"/>
                <w:b/>
                <w:sz w:val="24"/>
                <w:szCs w:val="24"/>
              </w:rPr>
              <w:t>最高收费限额（元/小时）</w:t>
            </w:r>
          </w:p>
        </w:tc>
        <w:tc>
          <w:tcPr>
            <w:tcW w:w="2374" w:type="dxa"/>
            <w:noWrap w:val="0"/>
            <w:vAlign w:val="center"/>
          </w:tcPr>
          <w:p>
            <w:pPr>
              <w:jc w:val="center"/>
              <w:rPr>
                <w:rFonts w:hint="eastAsia" w:ascii="仿宋" w:hAnsi="仿宋" w:eastAsia="仿宋" w:cs="Times New Roman"/>
                <w:sz w:val="24"/>
                <w:szCs w:val="24"/>
                <w:lang w:eastAsia="zh-CN"/>
              </w:rPr>
            </w:pPr>
            <w:r>
              <w:rPr>
                <w:rFonts w:hint="eastAsia" w:ascii="黑体" w:hAnsi="黑体" w:eastAsia="黑体" w:cs="黑体"/>
                <w:color w:val="000000"/>
                <w:kern w:val="0"/>
                <w:sz w:val="24"/>
                <w:highlight w:val="none"/>
              </w:rPr>
              <w:t>折扣率（%）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07" w:type="dxa"/>
            <w:noWrap w:val="0"/>
            <w:vAlign w:val="center"/>
          </w:tcPr>
          <w:p>
            <w:pPr>
              <w:jc w:val="center"/>
              <w:rPr>
                <w:rFonts w:ascii="仿宋" w:hAnsi="仿宋" w:eastAsia="仿宋" w:cs="Times New Roman"/>
                <w:sz w:val="24"/>
                <w:szCs w:val="24"/>
              </w:rPr>
            </w:pPr>
            <w:r>
              <w:rPr>
                <w:rFonts w:hint="eastAsia" w:ascii="仿宋" w:hAnsi="仿宋" w:eastAsia="仿宋" w:cs="Times New Roman"/>
                <w:sz w:val="24"/>
                <w:szCs w:val="24"/>
              </w:rPr>
              <w:t>1</w:t>
            </w:r>
          </w:p>
        </w:tc>
        <w:tc>
          <w:tcPr>
            <w:tcW w:w="3550" w:type="dxa"/>
            <w:noWrap w:val="0"/>
            <w:vAlign w:val="center"/>
          </w:tcPr>
          <w:p>
            <w:pPr>
              <w:widowControl/>
              <w:jc w:val="center"/>
              <w:rPr>
                <w:rFonts w:ascii="仿宋" w:hAnsi="仿宋" w:eastAsia="仿宋" w:cs="Times New Roman"/>
                <w:sz w:val="24"/>
                <w:szCs w:val="24"/>
              </w:rPr>
            </w:pPr>
            <w:r>
              <w:rPr>
                <w:rFonts w:hint="eastAsia" w:ascii="仿宋_GB2312" w:hAnsi="仿宋_GB2312" w:eastAsia="仿宋_GB2312" w:cs="仿宋_GB2312"/>
                <w:color w:val="000000"/>
                <w:kern w:val="0"/>
                <w:sz w:val="24"/>
                <w:szCs w:val="24"/>
                <w:highlight w:val="none"/>
              </w:rPr>
              <w:t>高级职称人员或注册会计师</w:t>
            </w:r>
          </w:p>
        </w:tc>
        <w:tc>
          <w:tcPr>
            <w:tcW w:w="1898" w:type="dxa"/>
            <w:noWrap w:val="0"/>
            <w:vAlign w:val="center"/>
          </w:tcPr>
          <w:p>
            <w:pPr>
              <w:jc w:val="center"/>
              <w:rPr>
                <w:rFonts w:hint="default" w:ascii="仿宋" w:hAnsi="仿宋" w:eastAsia="仿宋" w:cs="Times New Roman"/>
                <w:b/>
                <w:sz w:val="24"/>
                <w:szCs w:val="24"/>
                <w:lang w:val="en-US" w:eastAsia="zh-CN"/>
              </w:rPr>
            </w:pPr>
            <w:r>
              <w:rPr>
                <w:rFonts w:hint="eastAsia" w:ascii="仿宋" w:hAnsi="仿宋" w:eastAsia="仿宋" w:cs="Times New Roman"/>
                <w:b/>
                <w:sz w:val="24"/>
                <w:szCs w:val="24"/>
                <w:lang w:val="en-US" w:eastAsia="zh-CN"/>
              </w:rPr>
              <w:t>400</w:t>
            </w:r>
          </w:p>
        </w:tc>
        <w:tc>
          <w:tcPr>
            <w:tcW w:w="2374" w:type="dxa"/>
            <w:vMerge w:val="restart"/>
            <w:noWrap w:val="0"/>
            <w:vAlign w:val="center"/>
          </w:tcPr>
          <w:p>
            <w:pPr>
              <w:jc w:val="center"/>
              <w:rPr>
                <w:rFonts w:hint="default" w:ascii="仿宋" w:hAnsi="仿宋" w:eastAsia="仿宋" w:cs="Times New Roman"/>
                <w:sz w:val="24"/>
                <w:szCs w:val="24"/>
                <w:lang w:val="en-US" w:eastAsia="zh-CN"/>
              </w:rPr>
            </w:pPr>
            <w:r>
              <w:rPr>
                <w:rFonts w:hint="eastAsia" w:ascii="仿宋_GB2312" w:hAnsi="仿宋_GB2312" w:eastAsia="仿宋_GB2312" w:cs="仿宋_GB2312"/>
                <w:b/>
                <w:color w:val="FF0000"/>
                <w:kern w:val="0"/>
                <w:sz w:val="22"/>
              </w:rPr>
              <w:t>（供应商在此处报价至小数点后</w:t>
            </w:r>
            <w:r>
              <w:rPr>
                <w:rFonts w:hint="eastAsia" w:ascii="仿宋_GB2312" w:hAnsi="仿宋_GB2312" w:eastAsia="仿宋_GB2312" w:cs="仿宋_GB2312"/>
                <w:b/>
                <w:color w:val="FF0000"/>
                <w:kern w:val="0"/>
                <w:sz w:val="22"/>
                <w:lang w:val="en-US" w:eastAsia="zh-CN"/>
              </w:rPr>
              <w:t>两</w:t>
            </w:r>
            <w:r>
              <w:rPr>
                <w:rFonts w:hint="eastAsia" w:ascii="仿宋_GB2312" w:hAnsi="仿宋_GB2312" w:eastAsia="仿宋_GB2312" w:cs="仿宋_GB2312"/>
                <w:b/>
                <w:color w:val="FF0000"/>
                <w:kern w:val="0"/>
                <w:sz w:val="22"/>
              </w:rPr>
              <w:t>位数或以上）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7" w:type="dxa"/>
            <w:noWrap w:val="0"/>
            <w:vAlign w:val="center"/>
          </w:tcPr>
          <w:p>
            <w:pPr>
              <w:jc w:val="center"/>
              <w:rPr>
                <w:rFonts w:ascii="仿宋" w:hAnsi="仿宋" w:eastAsia="仿宋" w:cs="Times New Roman"/>
                <w:sz w:val="24"/>
                <w:szCs w:val="24"/>
              </w:rPr>
            </w:pPr>
            <w:r>
              <w:rPr>
                <w:rFonts w:hint="eastAsia" w:ascii="仿宋" w:hAnsi="仿宋" w:eastAsia="仿宋" w:cs="Times New Roman"/>
                <w:sz w:val="24"/>
                <w:szCs w:val="24"/>
              </w:rPr>
              <w:t>2</w:t>
            </w:r>
          </w:p>
        </w:tc>
        <w:tc>
          <w:tcPr>
            <w:tcW w:w="3550" w:type="dxa"/>
            <w:noWrap w:val="0"/>
            <w:vAlign w:val="center"/>
          </w:tcPr>
          <w:p>
            <w:pPr>
              <w:widowControl/>
              <w:jc w:val="center"/>
              <w:rPr>
                <w:rFonts w:ascii="仿宋" w:hAnsi="仿宋" w:eastAsia="仿宋" w:cs="Times New Roman"/>
                <w:sz w:val="24"/>
                <w:szCs w:val="24"/>
              </w:rPr>
            </w:pPr>
            <w:r>
              <w:rPr>
                <w:rFonts w:hint="eastAsia" w:ascii="仿宋_GB2312" w:hAnsi="仿宋_GB2312" w:eastAsia="仿宋_GB2312" w:cs="仿宋_GB2312"/>
                <w:color w:val="000000"/>
                <w:kern w:val="0"/>
                <w:sz w:val="24"/>
                <w:szCs w:val="24"/>
                <w:highlight w:val="none"/>
              </w:rPr>
              <w:t>中级职称人员或会计师</w:t>
            </w:r>
          </w:p>
        </w:tc>
        <w:tc>
          <w:tcPr>
            <w:tcW w:w="1898" w:type="dxa"/>
            <w:noWrap w:val="0"/>
            <w:vAlign w:val="center"/>
          </w:tcPr>
          <w:p>
            <w:pPr>
              <w:jc w:val="center"/>
              <w:rPr>
                <w:rFonts w:hint="default" w:ascii="仿宋" w:hAnsi="仿宋" w:eastAsia="仿宋" w:cs="Times New Roman"/>
                <w:b/>
                <w:sz w:val="24"/>
                <w:szCs w:val="24"/>
                <w:lang w:val="en-US" w:eastAsia="zh-CN"/>
              </w:rPr>
            </w:pPr>
            <w:r>
              <w:rPr>
                <w:rFonts w:hint="eastAsia" w:ascii="仿宋" w:hAnsi="仿宋" w:eastAsia="仿宋" w:cs="Times New Roman"/>
                <w:b/>
                <w:sz w:val="24"/>
                <w:szCs w:val="24"/>
                <w:lang w:val="en-US" w:eastAsia="zh-CN"/>
              </w:rPr>
              <w:t>300</w:t>
            </w:r>
          </w:p>
        </w:tc>
        <w:tc>
          <w:tcPr>
            <w:tcW w:w="2374" w:type="dxa"/>
            <w:vMerge w:val="continue"/>
            <w:noWrap w:val="0"/>
            <w:vAlign w:val="center"/>
          </w:tcPr>
          <w:p>
            <w:pPr>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07" w:type="dxa"/>
            <w:noWrap w:val="0"/>
            <w:vAlign w:val="center"/>
          </w:tcPr>
          <w:p>
            <w:pPr>
              <w:jc w:val="center"/>
              <w:rPr>
                <w:rFonts w:ascii="仿宋" w:hAnsi="仿宋" w:eastAsia="仿宋" w:cs="Times New Roman"/>
                <w:sz w:val="24"/>
                <w:szCs w:val="24"/>
              </w:rPr>
            </w:pPr>
            <w:r>
              <w:rPr>
                <w:rFonts w:hint="eastAsia" w:ascii="仿宋" w:hAnsi="仿宋" w:eastAsia="仿宋" w:cs="Times New Roman"/>
                <w:sz w:val="24"/>
                <w:szCs w:val="24"/>
              </w:rPr>
              <w:t>3</w:t>
            </w:r>
          </w:p>
        </w:tc>
        <w:tc>
          <w:tcPr>
            <w:tcW w:w="3550" w:type="dxa"/>
            <w:noWrap w:val="0"/>
            <w:vAlign w:val="center"/>
          </w:tcPr>
          <w:p>
            <w:pPr>
              <w:widowControl/>
              <w:jc w:val="center"/>
              <w:rPr>
                <w:rFonts w:ascii="仿宋" w:hAnsi="仿宋" w:eastAsia="仿宋" w:cs="Times New Roman"/>
                <w:sz w:val="24"/>
                <w:szCs w:val="24"/>
              </w:rPr>
            </w:pPr>
            <w:r>
              <w:rPr>
                <w:rFonts w:hint="eastAsia" w:ascii="仿宋_GB2312" w:hAnsi="仿宋_GB2312" w:eastAsia="仿宋_GB2312" w:cs="仿宋_GB2312"/>
                <w:color w:val="000000"/>
                <w:kern w:val="0"/>
                <w:sz w:val="24"/>
                <w:szCs w:val="24"/>
                <w:highlight w:val="none"/>
              </w:rPr>
              <w:t>初级职称及以下人员</w:t>
            </w:r>
          </w:p>
        </w:tc>
        <w:tc>
          <w:tcPr>
            <w:tcW w:w="1898" w:type="dxa"/>
            <w:noWrap w:val="0"/>
            <w:vAlign w:val="center"/>
          </w:tcPr>
          <w:p>
            <w:pPr>
              <w:jc w:val="center"/>
              <w:rPr>
                <w:rFonts w:hint="default" w:ascii="仿宋" w:hAnsi="仿宋" w:eastAsia="仿宋" w:cs="Times New Roman"/>
                <w:b/>
                <w:sz w:val="24"/>
                <w:szCs w:val="24"/>
                <w:lang w:val="en-US" w:eastAsia="zh-CN"/>
              </w:rPr>
            </w:pPr>
            <w:r>
              <w:rPr>
                <w:rFonts w:hint="eastAsia" w:ascii="仿宋" w:hAnsi="仿宋" w:eastAsia="仿宋" w:cs="Times New Roman"/>
                <w:b/>
                <w:sz w:val="24"/>
                <w:szCs w:val="24"/>
                <w:lang w:val="en-US" w:eastAsia="zh-CN"/>
              </w:rPr>
              <w:t>180</w:t>
            </w:r>
          </w:p>
        </w:tc>
        <w:tc>
          <w:tcPr>
            <w:tcW w:w="2374" w:type="dxa"/>
            <w:vMerge w:val="continue"/>
            <w:noWrap w:val="0"/>
            <w:vAlign w:val="center"/>
          </w:tcPr>
          <w:p>
            <w:pPr>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29" w:type="dxa"/>
            <w:gridSpan w:val="4"/>
            <w:noWrap w:val="0"/>
            <w:vAlign w:val="top"/>
          </w:tcPr>
          <w:p>
            <w:pPr>
              <w:spacing w:line="360" w:lineRule="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en-US" w:eastAsia="zh-CN"/>
              </w:rPr>
              <w:t>备</w:t>
            </w:r>
            <w:r>
              <w:rPr>
                <w:rFonts w:hint="eastAsia" w:ascii="仿宋" w:hAnsi="仿宋" w:eastAsia="仿宋" w:cs="仿宋"/>
                <w:bCs/>
                <w:sz w:val="24"/>
                <w:szCs w:val="24"/>
                <w:highlight w:val="none"/>
                <w:lang w:val="zh-CN"/>
              </w:rPr>
              <w:t>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b/>
                <w:bCs/>
                <w:sz w:val="24"/>
                <w:szCs w:val="24"/>
                <w:lang w:val="en-US" w:eastAsia="zh-CN"/>
              </w:rPr>
            </w:pPr>
            <w:r>
              <w:rPr>
                <w:rFonts w:hint="eastAsia" w:ascii="仿宋" w:hAnsi="仿宋" w:eastAsia="仿宋" w:cs="Times New Roman"/>
                <w:b/>
                <w:bCs/>
                <w:color w:val="auto"/>
                <w:sz w:val="24"/>
                <w:szCs w:val="24"/>
                <w:lang w:val="en-US" w:eastAsia="zh-CN"/>
              </w:rPr>
              <w:t>★</w:t>
            </w:r>
            <w:r>
              <w:rPr>
                <w:rFonts w:hint="eastAsia" w:ascii="仿宋" w:hAnsi="仿宋" w:eastAsia="仿宋" w:cs="仿宋"/>
                <w:b/>
                <w:bCs/>
                <w:sz w:val="24"/>
                <w:szCs w:val="24"/>
                <w:lang w:val="en-US" w:eastAsia="zh-CN"/>
              </w:rPr>
              <w:t>1.供应商应承诺具备提供三类人员的服务能力。（提供书面承诺函）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Times New Roman"/>
                <w:b/>
                <w:bCs/>
                <w:color w:val="auto"/>
                <w:sz w:val="24"/>
                <w:szCs w:val="24"/>
                <w:highlight w:val="none"/>
                <w:lang w:val="en-US" w:eastAsia="zh-CN"/>
              </w:rPr>
            </w:pPr>
            <w:r>
              <w:rPr>
                <w:rFonts w:hint="eastAsia" w:ascii="仿宋" w:hAnsi="仿宋" w:eastAsia="仿宋" w:cs="Times New Roman"/>
                <w:b/>
                <w:bCs/>
                <w:color w:val="auto"/>
                <w:sz w:val="24"/>
                <w:szCs w:val="24"/>
                <w:highlight w:val="none"/>
                <w:lang w:val="en-US" w:eastAsia="zh-CN"/>
              </w:rPr>
              <w:t>2.</w:t>
            </w:r>
            <w:r>
              <w:rPr>
                <w:rFonts w:hint="eastAsia" w:ascii="仿宋" w:hAnsi="仿宋" w:eastAsia="仿宋" w:cs="仿宋"/>
                <w:b/>
                <w:bCs/>
                <w:sz w:val="24"/>
                <w:szCs w:val="24"/>
                <w:highlight w:val="none"/>
                <w:lang w:val="en-US" w:eastAsia="zh-CN"/>
              </w:rPr>
              <w:t>供应商应以各类人员最高收费限额为基准，</w:t>
            </w:r>
            <w:r>
              <w:rPr>
                <w:rFonts w:hint="eastAsia" w:ascii="仿宋" w:hAnsi="仿宋" w:eastAsia="仿宋" w:cs="仿宋"/>
                <w:b/>
                <w:bCs/>
                <w:color w:val="C00000"/>
                <w:sz w:val="24"/>
                <w:szCs w:val="24"/>
                <w:highlight w:val="none"/>
                <w:lang w:val="en-US" w:eastAsia="zh-CN"/>
              </w:rPr>
              <w:t>提出统一的折扣率报价（即只报一个折扣率）</w:t>
            </w:r>
            <w:r>
              <w:rPr>
                <w:rFonts w:hint="eastAsia" w:ascii="仿宋" w:hAnsi="仿宋" w:eastAsia="仿宋" w:cs="仿宋"/>
                <w:b/>
                <w:bCs/>
                <w:sz w:val="24"/>
                <w:szCs w:val="24"/>
                <w:highlight w:val="none"/>
                <w:lang w:val="en-US" w:eastAsia="zh-CN"/>
              </w:rPr>
              <w:t>，折扣最高不得超过100%</w:t>
            </w:r>
            <w:r>
              <w:rPr>
                <w:rFonts w:hint="eastAsia" w:ascii="仿宋" w:hAnsi="仿宋" w:eastAsia="仿宋" w:cs="Times New Roman"/>
                <w:b/>
                <w:bCs/>
                <w:color w:val="auto"/>
                <w:sz w:val="24"/>
                <w:szCs w:val="24"/>
                <w:highlight w:val="none"/>
                <w:lang w:val="en-US" w:eastAsia="zh-CN"/>
              </w:rPr>
              <w:t>。否则按无效响应处理。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3.请供应商综合考虑服务的成本、效益等因素，结合以下情况，慎重填写本次报价内容：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Times New Roman"/>
                <w:color w:val="auto"/>
                <w:sz w:val="24"/>
                <w:szCs w:val="24"/>
                <w:lang w:val="en-US" w:eastAsia="zh-CN"/>
              </w:rPr>
            </w:pPr>
            <w:r>
              <w:rPr>
                <w:rFonts w:hint="eastAsia" w:ascii="仿宋" w:hAnsi="仿宋" w:eastAsia="仿宋" w:cs="Times New Roman"/>
                <w:b/>
                <w:bCs/>
                <w:color w:val="auto"/>
                <w:sz w:val="24"/>
                <w:szCs w:val="24"/>
                <w:lang w:val="en-US" w:eastAsia="zh-CN"/>
              </w:rPr>
              <w:t>A.</w:t>
            </w:r>
            <w:r>
              <w:rPr>
                <w:rFonts w:hint="eastAsia" w:ascii="仿宋" w:hAnsi="仿宋" w:eastAsia="仿宋" w:cs="Times New Roman"/>
                <w:color w:val="auto"/>
                <w:sz w:val="24"/>
                <w:szCs w:val="24"/>
                <w:lang w:val="en-US" w:eastAsia="zh-CN"/>
              </w:rPr>
              <w:t>本次征集活动采用“价格优先法”进行评审，供应商的报价多少决定能否成为入围供应商。（</w:t>
            </w:r>
            <w:r>
              <w:rPr>
                <w:rFonts w:hint="eastAsia" w:ascii="仿宋" w:hAnsi="仿宋" w:eastAsia="仿宋" w:cs="Times New Roman"/>
                <w:b/>
                <w:bCs/>
                <w:color w:val="auto"/>
                <w:sz w:val="24"/>
                <w:szCs w:val="24"/>
                <w:lang w:val="en-US" w:eastAsia="zh-CN"/>
              </w:rPr>
              <w:t>价格优先法：</w:t>
            </w:r>
            <w:r>
              <w:rPr>
                <w:rFonts w:hint="eastAsia" w:ascii="仿宋" w:hAnsi="仿宋" w:eastAsia="仿宋" w:cs="Times New Roman"/>
                <w:color w:val="auto"/>
                <w:sz w:val="24"/>
                <w:szCs w:val="24"/>
                <w:lang w:val="en-US" w:eastAsia="zh-CN"/>
              </w:rPr>
              <w:t>详见本文件第五章 评标方法、程序及标准）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Times New Roman"/>
                <w:color w:val="auto"/>
                <w:sz w:val="24"/>
                <w:szCs w:val="24"/>
                <w:lang w:val="en-US" w:eastAsia="zh-CN"/>
              </w:rPr>
            </w:pPr>
            <w:r>
              <w:rPr>
                <w:rFonts w:hint="eastAsia" w:ascii="仿宋" w:hAnsi="仿宋" w:eastAsia="仿宋" w:cs="Times New Roman"/>
                <w:b/>
                <w:bCs/>
                <w:color w:val="auto"/>
                <w:sz w:val="24"/>
                <w:szCs w:val="24"/>
                <w:lang w:val="en-US" w:eastAsia="zh-CN"/>
              </w:rPr>
              <w:t>B.</w:t>
            </w:r>
            <w:r>
              <w:rPr>
                <w:rFonts w:hint="eastAsia" w:ascii="仿宋" w:hAnsi="仿宋" w:eastAsia="仿宋" w:cs="Times New Roman"/>
                <w:color w:val="auto"/>
                <w:sz w:val="24"/>
                <w:szCs w:val="24"/>
                <w:lang w:val="en-US" w:eastAsia="zh-CN"/>
              </w:rPr>
              <w:t>本次征集活动中入围供应商的报价（即协议价格），是后续采购人或服务对象确定第二阶段具体项目成交供应商的</w:t>
            </w:r>
            <w:r>
              <w:rPr>
                <w:rFonts w:hint="eastAsia" w:ascii="仿宋" w:hAnsi="仿宋" w:eastAsia="仿宋" w:cs="Times New Roman"/>
                <w:b/>
                <w:bCs/>
                <w:color w:val="auto"/>
                <w:sz w:val="24"/>
                <w:szCs w:val="24"/>
                <w:lang w:val="en-US" w:eastAsia="zh-CN"/>
              </w:rPr>
              <w:t>最高限价</w:t>
            </w:r>
            <w:r>
              <w:rPr>
                <w:rFonts w:hint="eastAsia" w:ascii="仿宋" w:hAnsi="仿宋" w:eastAsia="仿宋" w:cs="Times New Roman"/>
                <w:color w:val="auto"/>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lang w:val="en-US" w:eastAsia="zh-CN"/>
              </w:rPr>
            </w:pPr>
            <w:r>
              <w:rPr>
                <w:rFonts w:hint="eastAsia" w:ascii="仿宋" w:hAnsi="仿宋" w:eastAsia="仿宋" w:cs="Times New Roman"/>
                <w:b/>
                <w:bCs/>
                <w:color w:val="auto"/>
                <w:sz w:val="24"/>
                <w:szCs w:val="24"/>
                <w:lang w:val="en-US" w:eastAsia="zh-CN"/>
              </w:rPr>
              <w:t>C.</w:t>
            </w:r>
            <w:r>
              <w:rPr>
                <w:rFonts w:hint="eastAsia" w:ascii="仿宋" w:hAnsi="仿宋" w:eastAsia="仿宋" w:cs="Times New Roman"/>
                <w:b w:val="0"/>
                <w:bCs w:val="0"/>
                <w:color w:val="auto"/>
                <w:sz w:val="24"/>
                <w:szCs w:val="24"/>
                <w:lang w:val="en-US" w:eastAsia="zh-CN"/>
              </w:rPr>
              <w:t>为防止报价趋同导致大量供应商进入淘汰备选名次（如：项目共计100家投标人参与投标，若70家报价为80％，30家报价为90％，则报价为90％的30家全部列入淘汰备选供应商；若70家报价为80％，1家报价为89.99％，29家报价为90％，则报价为90％的29家全部列入淘汰备选供应商），请供应商报价至小数点后</w:t>
            </w:r>
            <w:r>
              <w:rPr>
                <w:rFonts w:hint="eastAsia" w:ascii="仿宋_GB2312" w:hAnsi="仿宋_GB2312" w:eastAsia="仿宋_GB2312" w:cs="仿宋_GB2312"/>
                <w:b/>
                <w:color w:val="FF0000"/>
                <w:kern w:val="0"/>
                <w:sz w:val="22"/>
                <w:lang w:val="en-US" w:eastAsia="zh-CN"/>
              </w:rPr>
              <w:t>两</w:t>
            </w:r>
            <w:r>
              <w:rPr>
                <w:rFonts w:hint="eastAsia" w:ascii="仿宋" w:hAnsi="仿宋" w:eastAsia="仿宋" w:cs="Times New Roman"/>
                <w:b w:val="0"/>
                <w:bCs w:val="0"/>
                <w:color w:val="auto"/>
                <w:sz w:val="24"/>
                <w:szCs w:val="24"/>
                <w:lang w:val="en-US" w:eastAsia="zh-CN"/>
              </w:rPr>
              <w:t>位数或以上。如80.257％或95.3257％等。</w:t>
            </w:r>
          </w:p>
          <w:p>
            <w:pPr>
              <w:jc w:val="left"/>
              <w:rPr>
                <w:rFonts w:ascii="仿宋" w:hAnsi="仿宋" w:eastAsia="仿宋" w:cs="Times New Roman"/>
                <w:b/>
                <w:sz w:val="24"/>
                <w:szCs w:val="24"/>
              </w:rPr>
            </w:pPr>
          </w:p>
        </w:tc>
      </w:tr>
    </w:tbl>
    <w:p>
      <w:pPr>
        <w:pStyle w:val="7"/>
        <w:ind w:left="0" w:leftChars="0" w:firstLine="0" w:firstLineChars="0"/>
        <w:rPr>
          <w:rFonts w:hint="eastAsia"/>
        </w:rPr>
      </w:pPr>
    </w:p>
    <w:p>
      <w:pPr>
        <w:pStyle w:val="4"/>
        <w:numPr>
          <w:ilvl w:val="0"/>
          <w:numId w:val="1"/>
        </w:numPr>
        <w:spacing w:line="360" w:lineRule="auto"/>
        <w:ind w:left="616" w:hanging="616"/>
        <w:jc w:val="left"/>
        <w:rPr>
          <w:rFonts w:hint="eastAsia" w:ascii="仿宋" w:hAnsi="仿宋" w:eastAsia="仿宋"/>
          <w:bCs w:val="0"/>
          <w:sz w:val="28"/>
          <w:szCs w:val="28"/>
          <w:highlight w:val="none"/>
          <w:lang w:val="zh-CN" w:eastAsia="zh-CN"/>
        </w:rPr>
      </w:pPr>
      <w:bookmarkStart w:id="23" w:name="_Toc12663"/>
      <w:r>
        <w:rPr>
          <w:rFonts w:hint="eastAsia" w:ascii="仿宋" w:hAnsi="仿宋" w:eastAsia="仿宋" w:cs="Times New Roman"/>
          <w:bCs w:val="0"/>
          <w:sz w:val="28"/>
          <w:szCs w:val="28"/>
          <w:highlight w:val="none"/>
          <w:lang w:val="zh-CN" w:eastAsia="zh-CN"/>
        </w:rPr>
        <w:t>其他要求</w:t>
      </w:r>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1.供应商报价应为含税价，包含后期服务实施全过程中可能发生的所有费用，供应商报价应充分考虑相关因素，后期不额外收取交通费、住宿费等费用。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Times New Roman"/>
          <w:b/>
          <w:bCs w:val="0"/>
          <w:color w:val="auto"/>
          <w:sz w:val="24"/>
          <w:szCs w:val="24"/>
          <w:highlight w:val="none"/>
          <w:lang w:val="en-US" w:eastAsia="zh-CN"/>
        </w:rPr>
      </w:pPr>
      <w:r>
        <w:rPr>
          <w:rFonts w:hint="eastAsia" w:ascii="仿宋" w:hAnsi="仿宋" w:eastAsia="仿宋" w:cs="Times New Roman"/>
          <w:b/>
          <w:bCs w:val="0"/>
          <w:sz w:val="24"/>
          <w:szCs w:val="24"/>
        </w:rPr>
        <w:t>★</w:t>
      </w:r>
      <w:r>
        <w:rPr>
          <w:rFonts w:hint="eastAsia" w:ascii="仿宋" w:hAnsi="仿宋" w:eastAsia="仿宋" w:cs="Times New Roman"/>
          <w:b/>
          <w:bCs w:val="0"/>
          <w:sz w:val="24"/>
          <w:szCs w:val="24"/>
          <w:lang w:val="en-US" w:eastAsia="zh-CN"/>
        </w:rPr>
        <w:t>2.</w:t>
      </w:r>
      <w:r>
        <w:rPr>
          <w:rFonts w:hint="eastAsia" w:ascii="仿宋" w:hAnsi="仿宋" w:eastAsia="仿宋" w:cs="Times New Roman"/>
          <w:b/>
          <w:bCs w:val="0"/>
          <w:color w:val="auto"/>
          <w:sz w:val="24"/>
          <w:szCs w:val="24"/>
          <w:lang w:val="en-US" w:eastAsia="zh-CN"/>
        </w:rPr>
        <w:t>供</w:t>
      </w:r>
      <w:r>
        <w:rPr>
          <w:rFonts w:hint="eastAsia" w:ascii="仿宋" w:hAnsi="仿宋" w:eastAsia="仿宋" w:cs="Times New Roman"/>
          <w:b/>
          <w:bCs w:val="0"/>
          <w:color w:val="auto"/>
          <w:sz w:val="24"/>
          <w:szCs w:val="24"/>
          <w:highlight w:val="none"/>
          <w:lang w:val="en-US" w:eastAsia="zh-CN"/>
        </w:rPr>
        <w:t>应商根据前述报价要求，对所投采购包进行报价，填写“供应商报价”栏目（报价填报详见第七章附件《开标一览表》）。报价须满足以下要求，否则作为无效响应处理：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Times New Roman"/>
          <w:b/>
          <w:bCs w:val="0"/>
          <w:color w:val="auto"/>
          <w:sz w:val="24"/>
          <w:szCs w:val="24"/>
          <w:highlight w:val="none"/>
          <w:lang w:val="en-US" w:eastAsia="zh-CN"/>
        </w:rPr>
      </w:pPr>
      <w:r>
        <w:rPr>
          <w:rFonts w:hint="eastAsia" w:ascii="仿宋" w:hAnsi="仿宋" w:eastAsia="仿宋" w:cs="Times New Roman"/>
          <w:b/>
          <w:bCs w:val="0"/>
          <w:color w:val="auto"/>
          <w:sz w:val="24"/>
          <w:szCs w:val="24"/>
          <w:highlight w:val="none"/>
          <w:lang w:val="en-US" w:eastAsia="zh-CN"/>
        </w:rPr>
        <w:t>（1）必须对列明的所有项目进行报价，不得缺项、漏项。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ascii="仿宋" w:hAnsi="仿宋" w:eastAsia="仿宋" w:cs="Times New Roman"/>
          <w:b/>
          <w:bCs w:val="0"/>
          <w:color w:val="auto"/>
          <w:sz w:val="24"/>
          <w:szCs w:val="24"/>
          <w:highlight w:val="none"/>
          <w:lang w:val="en-US" w:eastAsia="zh-CN"/>
        </w:rPr>
      </w:pPr>
      <w:r>
        <w:rPr>
          <w:rFonts w:hint="eastAsia" w:ascii="仿宋" w:hAnsi="仿宋" w:eastAsia="仿宋" w:cs="Times New Roman"/>
          <w:b/>
          <w:bCs w:val="0"/>
          <w:color w:val="auto"/>
          <w:sz w:val="24"/>
          <w:szCs w:val="24"/>
          <w:highlight w:val="none"/>
          <w:lang w:val="en-US" w:eastAsia="zh-CN"/>
        </w:rPr>
        <w:t>（2）报价不得超过各项最高限价。报折扣率的不得超过100％。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b/>
          <w:bCs w:val="0"/>
          <w:highlight w:val="none"/>
          <w:lang w:val="en-US" w:eastAsia="zh-CN"/>
        </w:rPr>
      </w:pPr>
      <w:r>
        <w:rPr>
          <w:rFonts w:hint="eastAsia" w:ascii="仿宋" w:hAnsi="仿宋" w:eastAsia="仿宋" w:cs="Times New Roman"/>
          <w:b/>
          <w:bCs w:val="0"/>
          <w:color w:val="auto"/>
          <w:sz w:val="24"/>
          <w:szCs w:val="24"/>
          <w:highlight w:val="none"/>
          <w:lang w:val="en-US" w:eastAsia="zh-CN"/>
        </w:rPr>
        <w:t>（3）不得采取区间报价，各项报价应是一个固定数值。</w:t>
      </w:r>
    </w:p>
    <w:p>
      <w:pPr>
        <w:spacing w:line="360" w:lineRule="auto"/>
        <w:ind w:firstLine="480" w:firstLineChars="200"/>
        <w:rPr>
          <w:rFonts w:hint="default" w:ascii="仿宋" w:hAnsi="仿宋" w:eastAsia="仿宋" w:cs="Times New Roman"/>
          <w:color w:val="auto"/>
          <w:sz w:val="24"/>
          <w:szCs w:val="24"/>
          <w:lang w:val="en-US" w:eastAsia="zh-CN"/>
        </w:rPr>
      </w:pPr>
      <w:r>
        <w:rPr>
          <w:rFonts w:hint="eastAsia" w:ascii="仿宋" w:hAnsi="仿宋" w:eastAsia="仿宋" w:cs="Times New Roman"/>
          <w:sz w:val="24"/>
          <w:szCs w:val="24"/>
          <w:lang w:val="en-US" w:eastAsia="zh-CN"/>
        </w:rPr>
        <w:t>3.供应商应当遵守法律、行政法规和国家及地方标准，遵循独立、客观、公正的原则，对所出具的评价咨询意见负责。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4.供应商中标后需按照本章附件一的要求入驻鄂州市政府采购</w:t>
      </w:r>
      <w:r>
        <w:rPr>
          <w:rFonts w:hint="eastAsia" w:ascii="仿宋" w:hAnsi="仿宋" w:eastAsia="仿宋"/>
          <w:sz w:val="24"/>
          <w:szCs w:val="24"/>
          <w:lang w:val="en-US" w:eastAsia="zh-CN"/>
        </w:rPr>
        <w:t>框架协议电子平台</w:t>
      </w:r>
      <w:r>
        <w:rPr>
          <w:rFonts w:hint="eastAsia" w:ascii="仿宋" w:hAnsi="仿宋" w:eastAsia="仿宋" w:cs="Times New Roman"/>
          <w:color w:val="auto"/>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5.严格依据征集文件要求和响应文件的承诺，向各级单位提供服务。不实行任何形式的不合理限制，提出任何附加条款。全面履行投标承诺，圆满完成各级单位的相关服务工作，确保质量，提供快捷、方便、满意的服务。</w:t>
      </w:r>
    </w:p>
    <w:p>
      <w:pPr>
        <w:rPr>
          <w:rFonts w:hint="eastAsia" w:ascii="仿宋" w:hAnsi="仿宋" w:eastAsia="仿宋"/>
          <w:sz w:val="32"/>
          <w:szCs w:val="32"/>
          <w:lang w:val="en-US" w:eastAsia="zh-CN"/>
        </w:rPr>
      </w:pPr>
      <w:r>
        <w:rPr>
          <w:rFonts w:hint="eastAsia" w:ascii="仿宋" w:hAnsi="仿宋" w:eastAsia="仿宋"/>
          <w:sz w:val="32"/>
          <w:szCs w:val="32"/>
          <w:lang w:val="en-US" w:eastAsia="zh-CN"/>
        </w:rPr>
        <w:br w:type="page"/>
      </w:r>
    </w:p>
    <w:p>
      <w:pPr>
        <w:pStyle w:val="3"/>
        <w:numPr>
          <w:ilvl w:val="0"/>
          <w:numId w:val="0"/>
        </w:numPr>
        <w:spacing w:before="240" w:after="120"/>
        <w:ind w:left="630" w:leftChars="0" w:firstLine="964" w:firstLineChars="300"/>
        <w:jc w:val="both"/>
        <w:rPr>
          <w:rFonts w:ascii="仿宋" w:hAnsi="仿宋" w:eastAsia="仿宋" w:cs="仿宋"/>
          <w:sz w:val="32"/>
          <w:szCs w:val="32"/>
        </w:rPr>
      </w:pPr>
      <w:r>
        <w:rPr>
          <w:rFonts w:hint="eastAsia" w:ascii="仿宋" w:hAnsi="仿宋" w:eastAsia="仿宋"/>
          <w:sz w:val="32"/>
          <w:szCs w:val="32"/>
          <w:lang w:val="en-US" w:eastAsia="zh-CN"/>
        </w:rPr>
        <w:t>第三章</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确定入围及成交供应商</w:t>
      </w:r>
    </w:p>
    <w:p>
      <w:pPr>
        <w:spacing w:line="440" w:lineRule="exact"/>
        <w:ind w:firstLine="482" w:firstLineChars="200"/>
        <w:rPr>
          <w:rFonts w:ascii="仿宋" w:hAnsi="仿宋" w:eastAsia="仿宋" w:cs="仿宋"/>
          <w:b/>
          <w:sz w:val="24"/>
          <w:szCs w:val="24"/>
        </w:rPr>
      </w:pPr>
      <w:r>
        <w:rPr>
          <w:rFonts w:ascii="仿宋" w:hAnsi="仿宋" w:eastAsia="仿宋" w:cs="仿宋"/>
          <w:b/>
          <w:sz w:val="24"/>
          <w:szCs w:val="24"/>
        </w:rPr>
        <w:t>一、确定第一阶段入围供应商的评审方法</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1、确定第一阶段入围供应商的评审方法为价格优先法。价格优先法是指对满足采购需求且响应报价不超过最高限制单价的产品，按照响应报价从低到高排序，根据征集文件规定的淘汰率或者入围供应商数量上限，确定入围供应商的评审方法。</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2、入围供应商的淘汰比例：</w:t>
      </w:r>
      <w:r>
        <w:rPr>
          <w:rFonts w:hint="eastAsia" w:ascii="仿宋" w:hAnsi="仿宋" w:eastAsia="仿宋" w:cs="仿宋"/>
          <w:bCs/>
          <w:sz w:val="24"/>
          <w:szCs w:val="24"/>
        </w:rPr>
        <w:t>本项目</w:t>
      </w:r>
      <w:r>
        <w:rPr>
          <w:rFonts w:ascii="仿宋" w:hAnsi="仿宋" w:eastAsia="仿宋" w:cs="仿宋"/>
          <w:bCs/>
          <w:sz w:val="24"/>
          <w:szCs w:val="24"/>
        </w:rPr>
        <w:t>入围供应商的淘汰</w:t>
      </w:r>
      <w:r>
        <w:rPr>
          <w:rFonts w:hint="eastAsia" w:ascii="仿宋" w:hAnsi="仿宋" w:eastAsia="仿宋" w:cs="仿宋"/>
          <w:bCs/>
          <w:sz w:val="24"/>
          <w:szCs w:val="24"/>
        </w:rPr>
        <w:t>为</w:t>
      </w:r>
      <w:r>
        <w:rPr>
          <w:rFonts w:ascii="仿宋" w:hAnsi="仿宋" w:eastAsia="仿宋" w:cs="仿宋"/>
          <w:bCs/>
          <w:sz w:val="24"/>
          <w:szCs w:val="24"/>
        </w:rPr>
        <w:t>20%，且至少淘汰一家供应商（提交响应文件和符合资格条件、实质性要求的供应商少于2家时，采购活动终止）。</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（1）若计算的淘汰数非整数，则按照向上取整原则进行处理。即淘汰数量=向上取整[供应商数量×20%]（示例：如有11家供应商投标，淘汰数量=向上取整[11×20%]=向上取整[2.2]=3,最终实际淘汰3家供应商）。</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sz w:val="24"/>
          <w:szCs w:val="24"/>
        </w:rPr>
        <w:t>（2）若</w:t>
      </w:r>
      <w:r>
        <w:rPr>
          <w:rFonts w:ascii="仿宋" w:hAnsi="仿宋" w:eastAsia="仿宋" w:cs="仿宋"/>
          <w:bCs/>
          <w:sz w:val="24"/>
          <w:szCs w:val="24"/>
        </w:rPr>
        <w:t>按淘汰率得出的淘汰名次存在并列排序，</w:t>
      </w:r>
      <w:r>
        <w:rPr>
          <w:rFonts w:hint="eastAsia" w:ascii="仿宋" w:hAnsi="仿宋" w:eastAsia="仿宋" w:cs="仿宋"/>
          <w:bCs/>
          <w:sz w:val="24"/>
          <w:szCs w:val="24"/>
        </w:rPr>
        <w:t>由评标委员会采用随机摇号的方式确定。</w:t>
      </w:r>
    </w:p>
    <w:p>
      <w:pPr>
        <w:spacing w:line="440" w:lineRule="exact"/>
        <w:ind w:firstLine="482" w:firstLineChars="200"/>
        <w:rPr>
          <w:rFonts w:ascii="仿宋" w:hAnsi="仿宋" w:eastAsia="仿宋" w:cs="仿宋"/>
          <w:b/>
          <w:sz w:val="24"/>
          <w:szCs w:val="24"/>
        </w:rPr>
      </w:pPr>
      <w:r>
        <w:rPr>
          <w:rFonts w:hint="eastAsia" w:ascii="仿宋" w:hAnsi="仿宋" w:eastAsia="仿宋" w:cs="仿宋"/>
          <w:b/>
          <w:sz w:val="24"/>
          <w:szCs w:val="24"/>
        </w:rPr>
        <w:t>二</w:t>
      </w:r>
      <w:r>
        <w:rPr>
          <w:rFonts w:ascii="仿宋" w:hAnsi="仿宋" w:eastAsia="仿宋" w:cs="仿宋"/>
          <w:b/>
          <w:sz w:val="24"/>
          <w:szCs w:val="24"/>
        </w:rPr>
        <w:t>、政府采购政策落实</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1、小微型企业价格扣除</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（1）本项目对小型和微型企业产品给予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highlight w:val="none"/>
        </w:rPr>
        <w:t>%</w:t>
      </w:r>
      <w:r>
        <w:rPr>
          <w:rFonts w:ascii="仿宋" w:hAnsi="仿宋" w:eastAsia="仿宋" w:cs="仿宋"/>
          <w:bCs/>
          <w:sz w:val="24"/>
          <w:szCs w:val="24"/>
        </w:rPr>
        <w:t>的扣除价格，用扣除后的价格参与排序。</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（2）供应商需按照征集文件的要求提供相应的《小微企业声明函》。</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（3）企业标准请参照《关于印发中小企业划型标准规定的通知》（工信部联企业[2011]300号）文件规定自行填写。</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信息传输业。从业人员 2000 人以下或营业收入 100000 万元以下的为中小微型企业。其中，从业人员 100 人及以上，且营业收入 1000 万元及以上的为中型企业；从业人员 10 人及以上，且营业收入 100 万元及以上的为小型企业；从业人员 10 人以下或营业收入 100 万元以下的为微型企业。</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2、残疾人福利单位价格扣除</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（1）本项目对残疾人福利性单位视同小型、微型企业，给予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highlight w:val="none"/>
        </w:rPr>
        <w:t>%</w:t>
      </w:r>
      <w:r>
        <w:rPr>
          <w:rFonts w:ascii="仿宋" w:hAnsi="仿宋" w:eastAsia="仿宋" w:cs="仿宋"/>
          <w:bCs/>
          <w:sz w:val="24"/>
          <w:szCs w:val="24"/>
        </w:rPr>
        <w:t>的价格扣除，用扣除后的价格参与排序。</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（2）残疾人福利单位需按照征集文件的要求提供《残疾人福利性单位声明函》。</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（3）残疾人福利单位标准请参照《关于促进残疾人就业政府采购政策的通知》（财库〔2017〕141号）。</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3、监狱和戒毒企业价格扣除</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（1）本项目对监狱和戒毒企业（简称监狱企业）视同小型、微型企业，给予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highlight w:val="none"/>
        </w:rPr>
        <w:t>%</w:t>
      </w:r>
      <w:r>
        <w:rPr>
          <w:rFonts w:ascii="仿宋" w:hAnsi="仿宋" w:eastAsia="仿宋" w:cs="仿宋"/>
          <w:bCs/>
          <w:sz w:val="24"/>
          <w:szCs w:val="24"/>
        </w:rPr>
        <w:t>的价格扣除，用扣除后的价格参与排序。</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（2）监狱企业参加政府采购活动时，需提供由省级以上监狱管理局、戒毒管理局(含新疆生产建设兵团)出具的属于监狱企业的证明文件。供应商如不提供上述证明文件，价格将不做相应扣除。</w:t>
      </w:r>
    </w:p>
    <w:p>
      <w:pPr>
        <w:spacing w:line="440" w:lineRule="exact"/>
        <w:ind w:firstLine="480" w:firstLineChars="200"/>
        <w:rPr>
          <w:rFonts w:hint="eastAsia" w:ascii="仿宋" w:hAnsi="仿宋" w:eastAsia="仿宋" w:cs="仿宋"/>
          <w:bCs/>
          <w:sz w:val="24"/>
          <w:szCs w:val="24"/>
          <w:lang w:eastAsia="zh-CN"/>
        </w:rPr>
      </w:pPr>
      <w:r>
        <w:rPr>
          <w:rFonts w:ascii="仿宋" w:hAnsi="仿宋" w:eastAsia="仿宋" w:cs="仿宋"/>
          <w:bCs/>
          <w:sz w:val="24"/>
          <w:szCs w:val="24"/>
        </w:rPr>
        <w:t>（3）监狱企业标准请参照《关于政府采购支持监狱企业发展有关问题的通知》（财库[2014]68号）</w:t>
      </w:r>
      <w:r>
        <w:rPr>
          <w:rFonts w:hint="eastAsia" w:ascii="仿宋" w:hAnsi="仿宋" w:eastAsia="仿宋" w:cs="仿宋"/>
          <w:bCs/>
          <w:sz w:val="24"/>
          <w:szCs w:val="24"/>
          <w:lang w:eastAsia="zh-CN"/>
        </w:rPr>
        <w:t>。</w:t>
      </w:r>
    </w:p>
    <w:p>
      <w:pPr>
        <w:spacing w:line="440" w:lineRule="exact"/>
        <w:ind w:firstLine="480" w:firstLineChars="200"/>
        <w:rPr>
          <w:rFonts w:ascii="仿宋" w:hAnsi="仿宋" w:eastAsia="仿宋" w:cs="仿宋"/>
          <w:bCs/>
          <w:sz w:val="24"/>
          <w:szCs w:val="24"/>
        </w:rPr>
      </w:pPr>
      <w:r>
        <w:rPr>
          <w:rFonts w:hint="default" w:ascii="仿宋" w:hAnsi="仿宋" w:eastAsia="仿宋" w:cs="仿宋"/>
          <w:bCs/>
          <w:color w:val="auto"/>
          <w:sz w:val="24"/>
          <w:szCs w:val="24"/>
          <w:lang w:val="en-US" w:eastAsia="zh-CN"/>
        </w:rPr>
        <w:t>4、残疾人福利单位、监狱企业属于小型、微型企业的，不重复享受政策</w:t>
      </w:r>
      <w:r>
        <w:rPr>
          <w:rFonts w:ascii="仿宋" w:hAnsi="仿宋" w:eastAsia="仿宋" w:cs="仿宋"/>
          <w:bCs/>
          <w:sz w:val="24"/>
          <w:szCs w:val="24"/>
        </w:rPr>
        <w:t>。</w:t>
      </w:r>
    </w:p>
    <w:p>
      <w:pPr>
        <w:spacing w:line="440" w:lineRule="exact"/>
        <w:ind w:firstLine="482" w:firstLineChars="200"/>
        <w:rPr>
          <w:rFonts w:ascii="仿宋" w:hAnsi="仿宋" w:eastAsia="仿宋" w:cs="仿宋"/>
          <w:b/>
          <w:sz w:val="24"/>
          <w:szCs w:val="24"/>
        </w:rPr>
      </w:pPr>
      <w:r>
        <w:rPr>
          <w:rFonts w:ascii="仿宋" w:hAnsi="仿宋" w:eastAsia="仿宋" w:cs="仿宋"/>
          <w:b/>
          <w:sz w:val="24"/>
          <w:szCs w:val="24"/>
        </w:rPr>
        <w:t>二、确定第二阶段成交供应商的方式</w:t>
      </w:r>
    </w:p>
    <w:p>
      <w:pPr>
        <w:keepNext w:val="0"/>
        <w:keepLines w:val="0"/>
        <w:widowControl w:val="0"/>
        <w:numPr>
          <w:ilvl w:val="0"/>
          <w:numId w:val="0"/>
        </w:numPr>
        <w:suppressLineNumbers w:val="0"/>
        <w:spacing w:before="0" w:beforeAutospacing="0" w:after="0" w:afterAutospacing="0" w:line="460" w:lineRule="exact"/>
        <w:ind w:leftChars="0" w:right="0" w:rightChars="0" w:firstLine="480" w:firstLineChars="200"/>
        <w:jc w:val="both"/>
        <w:rPr>
          <w:rFonts w:hint="default" w:ascii="华文仿宋" w:hAnsi="华文仿宋" w:eastAsia="华文仿宋" w:cs="Times New Roman"/>
          <w:sz w:val="24"/>
          <w:szCs w:val="24"/>
        </w:rPr>
      </w:pPr>
      <w:r>
        <w:rPr>
          <w:rFonts w:hint="default" w:ascii="仿宋" w:hAnsi="仿宋" w:eastAsia="仿宋" w:cs="仿宋"/>
          <w:bCs/>
          <w:sz w:val="24"/>
          <w:szCs w:val="24"/>
          <w:lang w:val="en-US" w:eastAsia="zh-CN"/>
        </w:rPr>
        <w:t>1.确定第二阶段成交供应商的方式为</w:t>
      </w:r>
      <w:r>
        <w:rPr>
          <w:rStyle w:val="14"/>
          <w:rFonts w:hint="default" w:ascii="华文仿宋" w:hAnsi="华文仿宋" w:eastAsia="华文仿宋" w:cs="华文仿宋"/>
          <w:kern w:val="2"/>
          <w:sz w:val="24"/>
          <w:szCs w:val="24"/>
          <w:lang w:val="en-US" w:eastAsia="zh-CN" w:bidi="ar"/>
        </w:rPr>
        <w:t>直接选定和二次竞价。</w:t>
      </w:r>
    </w:p>
    <w:p>
      <w:pPr>
        <w:keepNext w:val="0"/>
        <w:keepLines w:val="0"/>
        <w:widowControl w:val="0"/>
        <w:suppressLineNumbers w:val="0"/>
        <w:spacing w:before="0" w:beforeAutospacing="0" w:after="0" w:afterAutospacing="0" w:line="460" w:lineRule="exact"/>
        <w:ind w:left="0" w:leftChars="0" w:right="0"/>
        <w:jc w:val="both"/>
        <w:rPr>
          <w:rFonts w:hint="default" w:ascii="华文仿宋" w:hAnsi="华文仿宋" w:eastAsia="华文仿宋" w:cs="Times New Roman"/>
          <w:sz w:val="24"/>
          <w:szCs w:val="24"/>
        </w:rPr>
      </w:pPr>
      <w:r>
        <w:rPr>
          <w:rStyle w:val="14"/>
          <w:rFonts w:hint="default" w:ascii="华文仿宋" w:hAnsi="华文仿宋" w:eastAsia="华文仿宋" w:cs="华文仿宋"/>
          <w:b/>
          <w:bCs/>
          <w:kern w:val="2"/>
          <w:sz w:val="24"/>
          <w:szCs w:val="24"/>
          <w:u w:val="none"/>
          <w:lang w:eastAsia="zh-CN" w:bidi="ar"/>
        </w:rPr>
        <w:t xml:space="preserve">    </w:t>
      </w:r>
      <w:r>
        <w:rPr>
          <w:rStyle w:val="14"/>
          <w:rFonts w:hint="default" w:ascii="华文仿宋" w:hAnsi="华文仿宋" w:eastAsia="华文仿宋" w:cs="华文仿宋"/>
          <w:b/>
          <w:bCs/>
          <w:kern w:val="2"/>
          <w:sz w:val="24"/>
          <w:szCs w:val="24"/>
          <w:u w:val="single"/>
          <w:lang w:val="en-US" w:eastAsia="zh-CN" w:bidi="ar"/>
        </w:rPr>
        <w:t>直接选定</w:t>
      </w:r>
      <w:r>
        <w:rPr>
          <w:rStyle w:val="14"/>
          <w:rFonts w:hint="default" w:ascii="华文仿宋" w:hAnsi="华文仿宋" w:eastAsia="华文仿宋" w:cs="华文仿宋"/>
          <w:kern w:val="2"/>
          <w:sz w:val="24"/>
          <w:szCs w:val="24"/>
          <w:lang w:val="en-US" w:eastAsia="zh-CN" w:bidi="ar"/>
        </w:rPr>
        <w:t>是确定第二阶段成交供应商的主要方式，由采购人或者服务对象依据入围产品价格、质量以及服务便利性、用户评价等因素，从第一阶段入围供应商中直接选定。第一阶段入围供应商的协议价格（有量价关系折扣的，包括量价关系折扣）是采购人确定第二阶段成交供应商的最高限价。</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Style w:val="14"/>
          <w:rFonts w:hint="default" w:ascii="华文仿宋" w:hAnsi="华文仿宋" w:eastAsia="华文仿宋" w:cs="华文仿宋"/>
          <w:b/>
          <w:bCs/>
          <w:kern w:val="2"/>
          <w:sz w:val="24"/>
          <w:szCs w:val="24"/>
          <w:u w:val="single"/>
          <w:lang w:val="en-US" w:eastAsia="zh-CN" w:bidi="ar"/>
        </w:rPr>
        <w:t>二次竞价</w:t>
      </w:r>
      <w:r>
        <w:rPr>
          <w:rStyle w:val="14"/>
          <w:rFonts w:hint="default" w:ascii="华文仿宋" w:hAnsi="华文仿宋" w:eastAsia="华文仿宋" w:cs="华文仿宋"/>
          <w:kern w:val="2"/>
          <w:sz w:val="24"/>
          <w:szCs w:val="24"/>
          <w:lang w:val="en-US" w:eastAsia="zh-CN" w:bidi="ar"/>
        </w:rPr>
        <w:t>是指以框架协议约定的入围产品、采购合同文本等为依据，以协议价格为最高限价，采购人明确第二阶段竞价需求，从入围供应商中选择所有符合竞价需求的供应商参与二次竞价，确定报价最低的为成交供应商的方式。</w:t>
      </w:r>
    </w:p>
    <w:p>
      <w:pPr>
        <w:spacing w:line="440" w:lineRule="exact"/>
        <w:ind w:firstLine="480" w:firstLineChars="200"/>
        <w:rPr>
          <w:rFonts w:hint="eastAsia" w:ascii="仿宋" w:hAnsi="仿宋" w:eastAsia="仿宋" w:cs="仿宋"/>
          <w:bCs/>
          <w:sz w:val="24"/>
          <w:szCs w:val="24"/>
          <w:lang w:val="en-US" w:eastAsia="zh-CN"/>
        </w:rPr>
      </w:pPr>
      <w:r>
        <w:rPr>
          <w:rFonts w:ascii="仿宋" w:hAnsi="仿宋" w:eastAsia="仿宋" w:cs="仿宋"/>
          <w:bCs/>
          <w:sz w:val="24"/>
          <w:szCs w:val="24"/>
          <w:lang w:val="en-US" w:eastAsia="zh-CN"/>
        </w:rPr>
        <w:t>2.采购人在确定成交供应商后，双方应当按照框架协议中规定的“采购合同文本”格式签订电子采购合同，不得擅自改变框架协议约定的合同实质性条款。</w:t>
      </w:r>
    </w:p>
    <w:bookmarkEnd w:id="4"/>
    <w:bookmarkEnd w:id="5"/>
    <w:bookmarkEnd w:id="6"/>
    <w:bookmarkEnd w:id="7"/>
    <w:bookmarkEnd w:id="8"/>
    <w:bookmarkEnd w:id="9"/>
    <w:bookmarkEnd w:id="10"/>
    <w:p>
      <w:pPr>
        <w:pStyle w:val="2"/>
        <w:rPr>
          <w:rFonts w:ascii="仿宋" w:hAnsi="仿宋" w:eastAsia="仿宋" w:cs="仿宋"/>
          <w:b/>
          <w:bCs/>
          <w:sz w:val="24"/>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500616D9"/>
    <w:rsid w:val="09D373F3"/>
    <w:rsid w:val="0B5A28E8"/>
    <w:rsid w:val="1CF40135"/>
    <w:rsid w:val="220A7046"/>
    <w:rsid w:val="26BC706A"/>
    <w:rsid w:val="2A7206F0"/>
    <w:rsid w:val="2DEF25F3"/>
    <w:rsid w:val="2F2653EB"/>
    <w:rsid w:val="3E716C8B"/>
    <w:rsid w:val="499100C7"/>
    <w:rsid w:val="4C7258DC"/>
    <w:rsid w:val="500616D9"/>
    <w:rsid w:val="597144ED"/>
    <w:rsid w:val="5E5A7021"/>
    <w:rsid w:val="62517694"/>
    <w:rsid w:val="674D1599"/>
    <w:rsid w:val="681E6973"/>
    <w:rsid w:val="76F62EFF"/>
    <w:rsid w:val="786C6182"/>
    <w:rsid w:val="7B1F4EC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asciiTheme="minorAscii" w:hAnsiTheme="minorAscii"/>
      <w:b/>
      <w:bCs/>
      <w:kern w:val="44"/>
      <w:sz w:val="44"/>
      <w:szCs w:val="44"/>
    </w:rPr>
  </w:style>
  <w:style w:type="paragraph" w:styleId="4">
    <w:name w:val="heading 2"/>
    <w:basedOn w:val="1"/>
    <w:next w:val="1"/>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w:basedOn w:val="1"/>
    <w:unhideWhenUsed/>
    <w:qFormat/>
    <w:uiPriority w:val="99"/>
    <w:pPr>
      <w:spacing w:after="120"/>
    </w:pPr>
  </w:style>
  <w:style w:type="paragraph" w:styleId="6">
    <w:name w:val="Body Text Indent"/>
    <w:basedOn w:val="1"/>
    <w:next w:val="7"/>
    <w:unhideWhenUsed/>
    <w:qFormat/>
    <w:uiPriority w:val="99"/>
    <w:pPr>
      <w:spacing w:after="120"/>
      <w:ind w:left="420" w:leftChars="200"/>
    </w:pPr>
  </w:style>
  <w:style w:type="paragraph" w:styleId="7">
    <w:name w:val="Body Text First Indent 2"/>
    <w:basedOn w:val="6"/>
    <w:unhideWhenUsed/>
    <w:qFormat/>
    <w:uiPriority w:val="99"/>
    <w:pPr>
      <w:ind w:firstLine="420" w:firstLineChars="200"/>
    </w:p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Body text|2"/>
    <w:basedOn w:val="1"/>
    <w:qFormat/>
    <w:uiPriority w:val="0"/>
    <w:pPr>
      <w:spacing w:line="391" w:lineRule="auto"/>
      <w:ind w:firstLine="400"/>
    </w:pPr>
    <w:rPr>
      <w:rFonts w:ascii="宋体" w:hAnsi="宋体" w:eastAsia="宋体" w:cs="宋体"/>
      <w:sz w:val="30"/>
      <w:szCs w:val="30"/>
      <w:lang w:val="zh-TW" w:eastAsia="zh-TW" w:bidi="zh-TW"/>
    </w:rPr>
  </w:style>
  <w:style w:type="paragraph" w:customStyle="1" w:styleId="12">
    <w:name w:val="01 正文-首行缩进2字符"/>
    <w:basedOn w:val="1"/>
    <w:qFormat/>
    <w:uiPriority w:val="0"/>
    <w:pPr>
      <w:spacing w:beforeLines="50" w:afterLines="50" w:line="360" w:lineRule="auto"/>
      <w:ind w:firstLine="200" w:firstLineChars="200"/>
    </w:pPr>
    <w:rPr>
      <w:rFonts w:ascii="Arial" w:hAnsi="Arial" w:eastAsia="宋体"/>
      <w:color w:val="000000"/>
      <w:sz w:val="24"/>
    </w:rPr>
  </w:style>
  <w:style w:type="character" w:customStyle="1" w:styleId="13">
    <w:name w:val="fontstyle21"/>
    <w:basedOn w:val="10"/>
    <w:qFormat/>
    <w:uiPriority w:val="0"/>
    <w:rPr>
      <w:rFonts w:hint="eastAsia" w:ascii="华文仿宋" w:hAnsi="华文仿宋" w:eastAsia="华文仿宋"/>
      <w:color w:val="000000"/>
      <w:sz w:val="28"/>
      <w:szCs w:val="28"/>
    </w:rPr>
  </w:style>
  <w:style w:type="character" w:customStyle="1" w:styleId="14">
    <w:name w:val="15"/>
    <w:basedOn w:val="10"/>
    <w:qFormat/>
    <w:uiPriority w:val="0"/>
    <w:rPr>
      <w:rFonts w:hint="default" w:ascii="华文仿宋" w:hAnsi="华文仿宋" w:eastAsia="华文仿宋" w:cs="华文仿宋"/>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3711</Words>
  <Characters>3938</Characters>
  <Lines>0</Lines>
  <Paragraphs>0</Paragraphs>
  <TotalTime>0</TotalTime>
  <ScaleCrop>false</ScaleCrop>
  <LinksUpToDate>false</LinksUpToDate>
  <CharactersWithSpaces>3970</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2023-09-26T09:54:00Z</dcterms:created>
  <dc:creator>NS</dc:creator>
  <cp:lastModifiedBy>胡靖</cp:lastModifiedBy>
  <dcterms:modified xsi:type="dcterms:W3CDTF">2023-12-12T09:00:16Z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1F3E1FB5BA4F444E89735D062A5174C8</vt:lpwstr>
  </property>
</Properties>
</file>