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tabs>
          <w:tab w:val="left" w:pos="1982"/>
        </w:tabs>
        <w:adjustRightInd w:val="0"/>
        <w:snapToGrid w:val="0"/>
        <w:spacing w:line="560" w:lineRule="exact"/>
        <w:ind w:firstLine="0"/>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物业管理服务封闭式框架协议采购需求</w:t>
      </w:r>
    </w:p>
    <w:p>
      <w:pPr>
        <w:pStyle w:val="3"/>
        <w:numPr>
          <w:ilvl w:val="0"/>
          <w:numId w:val="1"/>
        </w:numPr>
        <w:spacing w:before="240" w:after="120"/>
        <w:ind w:left="-495" w:leftChars="0" w:firstLine="3855" w:firstLineChars="0"/>
        <w:jc w:val="both"/>
        <w:rPr>
          <w:rFonts w:hint="eastAsia" w:ascii="仿宋" w:hAnsi="仿宋" w:eastAsia="仿宋"/>
          <w:sz w:val="32"/>
          <w:szCs w:val="32"/>
          <w:lang w:val="en-US" w:eastAsia="zh-CN"/>
        </w:rPr>
      </w:pPr>
      <w:r>
        <w:rPr>
          <w:rFonts w:hint="eastAsia" w:ascii="仿宋" w:hAnsi="仿宋" w:eastAsia="仿宋"/>
          <w:sz w:val="32"/>
          <w:szCs w:val="32"/>
          <w:lang w:val="en-US" w:eastAsia="zh-CN"/>
        </w:rPr>
        <w:t>资格条件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w:t>
      </w:r>
      <w:r>
        <w:rPr>
          <w:rFonts w:hint="eastAsia" w:ascii="仿宋" w:hAnsi="仿宋" w:eastAsia="仿宋"/>
          <w:bCs/>
          <w:sz w:val="24"/>
          <w:szCs w:val="24"/>
          <w:lang w:val="en-US" w:eastAsia="zh-CN"/>
        </w:rPr>
        <w:t>供应商</w:t>
      </w:r>
      <w:r>
        <w:rPr>
          <w:rFonts w:hint="eastAsia" w:ascii="仿宋" w:hAnsi="仿宋" w:eastAsia="仿宋"/>
          <w:bCs/>
          <w:sz w:val="24"/>
          <w:szCs w:val="24"/>
        </w:rPr>
        <w:t>，不得参加本项目同一合同项下的政府采购活动。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ascii="仿宋" w:hAnsi="仿宋" w:eastAsia="仿宋"/>
          <w:bCs/>
          <w:sz w:val="24"/>
          <w:szCs w:val="24"/>
          <w:highlight w:val="none"/>
        </w:rPr>
      </w:pPr>
      <w:r>
        <w:rPr>
          <w:rFonts w:hint="eastAsia" w:ascii="仿宋" w:hAnsi="仿宋" w:eastAsia="仿宋"/>
          <w:bCs/>
          <w:sz w:val="24"/>
          <w:szCs w:val="24"/>
          <w:highlight w:val="none"/>
        </w:rPr>
        <w:t>5.落实政府采购政策需满足的资格要求：</w:t>
      </w:r>
      <w:r>
        <w:rPr>
          <w:rFonts w:hint="eastAsia" w:ascii="仿宋" w:hAnsi="仿宋" w:eastAsia="仿宋"/>
          <w:bCs/>
          <w:sz w:val="24"/>
          <w:szCs w:val="24"/>
          <w:highlight w:val="none"/>
          <w:lang w:val="en-US" w:eastAsia="zh-CN"/>
        </w:rPr>
        <w:t>无</w:t>
      </w:r>
    </w:p>
    <w:p>
      <w:pPr>
        <w:widowControl/>
        <w:snapToGrid w:val="0"/>
        <w:spacing w:line="520" w:lineRule="exact"/>
        <w:ind w:firstLine="480" w:firstLineChars="200"/>
        <w:jc w:val="left"/>
        <w:rPr>
          <w:rFonts w:hint="eastAsia" w:ascii="仿宋" w:hAnsi="仿宋" w:eastAsia="仿宋"/>
          <w:bCs/>
          <w:sz w:val="24"/>
          <w:szCs w:val="24"/>
          <w:highlight w:val="none"/>
          <w:lang w:val="en-US" w:eastAsia="zh-CN"/>
        </w:rPr>
      </w:pPr>
      <w:r>
        <w:rPr>
          <w:rFonts w:hint="eastAsia" w:ascii="仿宋" w:hAnsi="仿宋" w:eastAsia="仿宋"/>
          <w:bCs/>
          <w:sz w:val="24"/>
          <w:szCs w:val="24"/>
          <w:highlight w:val="none"/>
        </w:rPr>
        <w:t>6.本项目的特定资格要求：</w:t>
      </w:r>
      <w:r>
        <w:rPr>
          <w:rFonts w:hint="eastAsia" w:ascii="仿宋" w:hAnsi="仿宋" w:eastAsia="仿宋"/>
          <w:bCs/>
          <w:sz w:val="24"/>
          <w:szCs w:val="24"/>
          <w:highlight w:val="none"/>
          <w:lang w:val="en-US" w:eastAsia="zh-CN"/>
        </w:rPr>
        <w:t>无</w:t>
      </w:r>
    </w:p>
    <w:p>
      <w:pPr>
        <w:rPr>
          <w:rFonts w:hint="eastAsia" w:ascii="仿宋" w:hAnsi="仿宋" w:eastAsia="仿宋"/>
          <w:b w:val="0"/>
          <w:bCs/>
          <w:color w:val="auto"/>
          <w:sz w:val="24"/>
          <w:szCs w:val="24"/>
          <w:highlight w:val="yellow"/>
        </w:rPr>
      </w:pPr>
      <w:r>
        <w:rPr>
          <w:rFonts w:hint="eastAsia" w:ascii="仿宋" w:hAnsi="仿宋" w:eastAsia="仿宋"/>
          <w:b w:val="0"/>
          <w:bCs/>
          <w:color w:val="auto"/>
          <w:sz w:val="24"/>
          <w:szCs w:val="24"/>
          <w:highlight w:val="yellow"/>
        </w:rPr>
        <w:br w:type="page"/>
      </w:r>
    </w:p>
    <w:p>
      <w:pPr>
        <w:pStyle w:val="3"/>
        <w:numPr>
          <w:ilvl w:val="0"/>
          <w:numId w:val="1"/>
        </w:numPr>
        <w:spacing w:before="240" w:after="120"/>
        <w:ind w:left="-915" w:leftChars="0" w:firstLine="3855" w:firstLineChars="0"/>
        <w:jc w:val="both"/>
        <w:rPr>
          <w:rFonts w:hint="eastAsia" w:ascii="仿宋" w:hAnsi="仿宋" w:eastAsia="仿宋"/>
          <w:sz w:val="32"/>
          <w:szCs w:val="32"/>
          <w:lang w:val="en-US" w:eastAsia="zh-CN"/>
        </w:rPr>
      </w:pPr>
      <w:r>
        <w:rPr>
          <w:rFonts w:hint="eastAsia" w:ascii="仿宋" w:hAnsi="仿宋" w:eastAsia="仿宋"/>
          <w:sz w:val="32"/>
          <w:szCs w:val="32"/>
          <w:lang w:val="en-US" w:eastAsia="zh-CN"/>
        </w:rPr>
        <w:t>项目技术要求</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供应商响应的服务标准不得低于本章采购需求。供应商须在响应文件中参照《项目服务要求响应、偏离说明表》和《项目服务要求“★”号条款响应、偏离说明表》格式，对采购需求条款进行</w:t>
      </w:r>
      <w:r>
        <w:rPr>
          <w:rFonts w:hint="eastAsia" w:ascii="仿宋" w:hAnsi="仿宋" w:eastAsia="仿宋"/>
          <w:b/>
          <w:bCs/>
          <w:sz w:val="24"/>
          <w:szCs w:val="24"/>
          <w:u w:val="single"/>
          <w:lang w:val="en-US" w:eastAsia="zh-CN"/>
        </w:rPr>
        <w:t>全面响应</w:t>
      </w:r>
      <w:r>
        <w:rPr>
          <w:rFonts w:hint="eastAsia" w:ascii="仿宋" w:hAnsi="仿宋" w:eastAsia="仿宋"/>
          <w:sz w:val="24"/>
          <w:szCs w:val="24"/>
          <w:lang w:val="en-US" w:eastAsia="zh-CN"/>
        </w:rPr>
        <w:t>。</w:t>
      </w:r>
    </w:p>
    <w:p>
      <w:pPr>
        <w:spacing w:line="360" w:lineRule="auto"/>
        <w:ind w:firstLine="480" w:firstLineChars="200"/>
        <w:rPr>
          <w:rFonts w:hint="default" w:ascii="仿宋" w:hAnsi="仿宋" w:eastAsia="仿宋"/>
          <w:sz w:val="24"/>
          <w:szCs w:val="24"/>
          <w:lang w:val="en-US" w:eastAsia="zh-CN"/>
        </w:rPr>
      </w:pPr>
      <w:r>
        <w:rPr>
          <w:rFonts w:hint="eastAsia" w:ascii="仿宋" w:hAnsi="仿宋" w:eastAsia="仿宋"/>
          <w:sz w:val="24"/>
          <w:szCs w:val="24"/>
          <w:lang w:val="en-US" w:eastAsia="zh-CN"/>
        </w:rPr>
        <w:t>“★”号条款响应内容须按要求提供相应证明文件，否则按照无效响应处理。</w:t>
      </w:r>
    </w:p>
    <w:p>
      <w:pPr>
        <w:pStyle w:val="4"/>
        <w:numPr>
          <w:ilvl w:val="0"/>
          <w:numId w:val="2"/>
        </w:numPr>
        <w:spacing w:before="0" w:after="0" w:line="360" w:lineRule="auto"/>
        <w:ind w:left="826" w:leftChars="0" w:hanging="616" w:firstLineChars="0"/>
        <w:jc w:val="left"/>
        <w:rPr>
          <w:rFonts w:ascii="仿宋" w:hAnsi="仿宋" w:eastAsia="仿宋" w:cs="Times New Roman"/>
          <w:bCs w:val="0"/>
          <w:sz w:val="28"/>
          <w:szCs w:val="28"/>
          <w:highlight w:val="none"/>
          <w:lang w:val="zh-CN"/>
        </w:rPr>
      </w:pPr>
      <w:bookmarkStart w:id="0" w:name="_Toc48134912"/>
      <w:bookmarkStart w:id="1" w:name="_Toc28731"/>
      <w:bookmarkStart w:id="2" w:name="_Toc14405"/>
      <w:bookmarkStart w:id="3" w:name="_Toc339378679"/>
      <w:bookmarkStart w:id="4" w:name="_Toc338065593"/>
      <w:r>
        <w:rPr>
          <w:rFonts w:hint="eastAsia" w:ascii="仿宋" w:hAnsi="仿宋" w:eastAsia="仿宋" w:cs="Times New Roman"/>
          <w:bCs w:val="0"/>
          <w:sz w:val="28"/>
          <w:szCs w:val="28"/>
          <w:highlight w:val="none"/>
          <w:lang w:val="zh-CN"/>
        </w:rPr>
        <w:t>项目概况</w:t>
      </w:r>
      <w:bookmarkEnd w:id="0"/>
      <w:bookmarkEnd w:id="1"/>
      <w:bookmarkEnd w:id="2"/>
    </w:p>
    <w:bookmarkEnd w:id="3"/>
    <w:bookmarkEnd w:id="4"/>
    <w:p>
      <w:pPr>
        <w:spacing w:line="360" w:lineRule="auto"/>
        <w:ind w:firstLine="480" w:firstLineChars="200"/>
        <w:rPr>
          <w:rFonts w:hint="default" w:ascii="仿宋" w:hAnsi="仿宋" w:eastAsia="仿宋"/>
          <w:sz w:val="24"/>
          <w:szCs w:val="24"/>
          <w:lang w:val="en-US" w:eastAsia="zh-CN"/>
        </w:rPr>
      </w:pPr>
      <w:bookmarkStart w:id="5" w:name="_Toc338065594"/>
      <w:bookmarkStart w:id="6" w:name="_Toc339378680"/>
      <w:r>
        <w:rPr>
          <w:rFonts w:hint="eastAsia" w:ascii="仿宋" w:hAnsi="仿宋" w:eastAsia="仿宋"/>
          <w:sz w:val="24"/>
          <w:szCs w:val="24"/>
          <w:lang w:val="en-US" w:eastAsia="zh-CN"/>
        </w:rPr>
        <w:t>1.需求内容：物业管理服务</w:t>
      </w: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val="en-US" w:eastAsia="zh-CN"/>
        </w:rPr>
        <w:t>2.服务对象：鄂州</w:t>
      </w:r>
      <w:r>
        <w:rPr>
          <w:rFonts w:hint="eastAsia" w:ascii="仿宋" w:hAnsi="仿宋" w:eastAsia="仿宋"/>
          <w:sz w:val="24"/>
          <w:szCs w:val="24"/>
        </w:rPr>
        <w:t>市</w:t>
      </w:r>
      <w:r>
        <w:rPr>
          <w:rFonts w:hint="eastAsia" w:ascii="仿宋" w:hAnsi="仿宋" w:eastAsia="仿宋"/>
          <w:sz w:val="24"/>
          <w:szCs w:val="24"/>
          <w:lang w:val="en-US" w:eastAsia="zh-CN"/>
        </w:rPr>
        <w:t>各级预算</w:t>
      </w:r>
      <w:r>
        <w:rPr>
          <w:rFonts w:hint="eastAsia" w:ascii="仿宋" w:hAnsi="仿宋" w:eastAsia="仿宋"/>
          <w:sz w:val="24"/>
          <w:szCs w:val="24"/>
        </w:rPr>
        <w:t>单位</w:t>
      </w:r>
      <w:bookmarkStart w:id="24" w:name="_GoBack"/>
      <w:bookmarkEnd w:id="24"/>
      <w:r>
        <w:rPr>
          <w:rFonts w:hint="eastAsia" w:ascii="仿宋" w:hAnsi="仿宋" w:eastAsia="仿宋"/>
          <w:sz w:val="24"/>
          <w:szCs w:val="24"/>
          <w:lang w:val="en-US" w:eastAsia="zh-CN"/>
        </w:rPr>
        <w:t>。</w:t>
      </w:r>
    </w:p>
    <w:p>
      <w:pPr>
        <w:spacing w:line="360" w:lineRule="auto"/>
        <w:ind w:firstLine="480" w:firstLineChars="200"/>
        <w:rPr>
          <w:rFonts w:hint="default" w:ascii="仿宋" w:hAnsi="仿宋" w:eastAsia="仿宋"/>
          <w:sz w:val="24"/>
          <w:szCs w:val="24"/>
          <w:highlight w:val="none"/>
          <w:lang w:val="en-US" w:eastAsia="zh-CN"/>
        </w:rPr>
      </w:pPr>
      <w:r>
        <w:rPr>
          <w:rFonts w:hint="eastAsia" w:ascii="仿宋" w:hAnsi="仿宋" w:eastAsia="仿宋"/>
          <w:sz w:val="24"/>
          <w:szCs w:val="24"/>
          <w:lang w:val="en-US" w:eastAsia="zh-CN"/>
        </w:rPr>
        <w:t>3.框架协议有效期：</w:t>
      </w:r>
      <w:r>
        <w:rPr>
          <w:rFonts w:hint="eastAsia" w:ascii="仿宋" w:hAnsi="仿宋" w:eastAsia="仿宋"/>
          <w:sz w:val="24"/>
          <w:szCs w:val="24"/>
          <w:highlight w:val="none"/>
          <w:lang w:val="en-US" w:eastAsia="zh-CN"/>
        </w:rPr>
        <w:t>2024年1月1日</w:t>
      </w:r>
      <w:r>
        <w:rPr>
          <w:rFonts w:hint="eastAsia" w:ascii="仿宋" w:hAnsi="仿宋" w:eastAsia="仿宋"/>
          <w:sz w:val="24"/>
          <w:szCs w:val="24"/>
          <w:lang w:val="en-US" w:eastAsia="zh-CN"/>
        </w:rPr>
        <w:t>至2024年12月31日</w:t>
      </w:r>
    </w:p>
    <w:p>
      <w:pPr>
        <w:pStyle w:val="4"/>
        <w:numPr>
          <w:ilvl w:val="0"/>
          <w:numId w:val="2"/>
        </w:numPr>
        <w:spacing w:before="0" w:after="0" w:line="360" w:lineRule="auto"/>
        <w:ind w:left="826" w:leftChars="0" w:hanging="616" w:firstLineChars="0"/>
        <w:jc w:val="left"/>
        <w:rPr>
          <w:rFonts w:ascii="仿宋" w:hAnsi="仿宋" w:eastAsia="仿宋" w:cs="Times New Roman"/>
          <w:bCs w:val="0"/>
          <w:sz w:val="28"/>
          <w:szCs w:val="28"/>
          <w:highlight w:val="none"/>
          <w:lang w:val="zh-CN"/>
        </w:rPr>
      </w:pPr>
      <w:bookmarkStart w:id="7" w:name="_Toc48134913"/>
      <w:bookmarkStart w:id="8" w:name="_Toc13936"/>
      <w:bookmarkStart w:id="9" w:name="_Toc228"/>
      <w:r>
        <w:rPr>
          <w:rFonts w:hint="eastAsia" w:ascii="仿宋" w:hAnsi="仿宋" w:eastAsia="仿宋" w:cs="Times New Roman"/>
          <w:bCs w:val="0"/>
          <w:sz w:val="28"/>
          <w:szCs w:val="28"/>
          <w:highlight w:val="none"/>
          <w:lang w:val="en-US" w:eastAsia="zh-CN"/>
        </w:rPr>
        <w:t>服务</w:t>
      </w:r>
      <w:r>
        <w:rPr>
          <w:rFonts w:hint="eastAsia" w:ascii="仿宋" w:hAnsi="仿宋" w:eastAsia="仿宋" w:cs="Times New Roman"/>
          <w:bCs w:val="0"/>
          <w:sz w:val="28"/>
          <w:szCs w:val="28"/>
          <w:highlight w:val="none"/>
          <w:lang w:val="zh-CN"/>
        </w:rPr>
        <w:t>内容</w:t>
      </w:r>
      <w:bookmarkEnd w:id="7"/>
      <w:r>
        <w:rPr>
          <w:rFonts w:hint="eastAsia" w:ascii="仿宋" w:hAnsi="仿宋" w:eastAsia="仿宋" w:cs="Times New Roman"/>
          <w:bCs w:val="0"/>
          <w:sz w:val="28"/>
          <w:szCs w:val="28"/>
          <w:highlight w:val="none"/>
          <w:lang w:val="en-US" w:eastAsia="zh-CN"/>
        </w:rPr>
        <w:t>和服务要求</w:t>
      </w:r>
      <w:bookmarkEnd w:id="8"/>
      <w:bookmarkEnd w:id="9"/>
    </w:p>
    <w:p>
      <w:pPr>
        <w:ind w:firstLine="562" w:firstLineChars="200"/>
        <w:outlineLvl w:val="0"/>
        <w:rPr>
          <w:rFonts w:hint="eastAsia" w:ascii="仿宋" w:hAnsi="仿宋" w:eastAsia="仿宋"/>
          <w:b/>
          <w:bCs/>
          <w:sz w:val="24"/>
          <w:szCs w:val="24"/>
          <w:lang w:val="en-US" w:eastAsia="zh-CN"/>
        </w:rPr>
      </w:pPr>
      <w:bookmarkStart w:id="10" w:name="_Toc27210"/>
      <w:bookmarkStart w:id="11" w:name="_Toc28164"/>
      <w:r>
        <w:rPr>
          <w:rFonts w:hint="eastAsia" w:ascii="仿宋_GB2312" w:hAnsi="宋体" w:eastAsia="仿宋_GB2312" w:cs="Times New Roman"/>
          <w:b/>
          <w:bCs/>
          <w:color w:val="auto"/>
          <w:sz w:val="28"/>
          <w:szCs w:val="28"/>
          <w:lang w:val="en-US" w:eastAsia="zh-CN"/>
        </w:rPr>
        <w:t>（一）服务要求</w:t>
      </w:r>
      <w:bookmarkEnd w:id="10"/>
      <w:bookmarkEnd w:id="11"/>
    </w:p>
    <w:p>
      <w:pPr>
        <w:widowControl/>
        <w:snapToGrid w:val="0"/>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1.设置物业服务处，公示24小时服务联系电话。每天24小时设有管理人员接待受理业主咨询、投诉和处理物业管理公共性事务，有效投诉处理率100%。</w:t>
      </w:r>
    </w:p>
    <w:p>
      <w:pPr>
        <w:widowControl/>
        <w:snapToGrid w:val="0"/>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2.制定完善的物业管理方案并组织实施，建立完善的物业管理制度和服务质量管理体系，建立健全完善的物业管理档案，并提供查询服务。</w:t>
      </w:r>
    </w:p>
    <w:p>
      <w:pPr>
        <w:widowControl/>
        <w:snapToGrid w:val="0"/>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3.对设施设备运行维护管理、物业管理服务日常事务等各种基础档案资料进行收集、整理和保存，并广泛运用计算机进行智能化管理。</w:t>
      </w:r>
    </w:p>
    <w:p>
      <w:pPr>
        <w:widowControl/>
        <w:snapToGrid w:val="0"/>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4.急修半小时内、其它报修按双方约定时间到达现场，有完整的报修、维修和回访记录。</w:t>
      </w:r>
    </w:p>
    <w:p>
      <w:pPr>
        <w:widowControl/>
        <w:snapToGrid w:val="0"/>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5.提供物业服务合同之外的有偿特约服务和代办服务的，公示服务项目及收费标准。</w:t>
      </w:r>
    </w:p>
    <w:p>
      <w:pPr>
        <w:widowControl/>
        <w:snapToGrid w:val="0"/>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6.物业服务入围供应商应按照采购人要求签订保密协议，确保不发生因物业服务入围供应商管理不规范造成的泄密事件。</w:t>
      </w:r>
    </w:p>
    <w:p>
      <w:pPr>
        <w:widowControl/>
        <w:snapToGrid w:val="0"/>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7.卫生保洁服务主要包括：公共区域保洁、特定区域保洁、专项保洁、其他保洁服务、消毒及垃圾清运。</w:t>
      </w:r>
    </w:p>
    <w:p>
      <w:pPr>
        <w:widowControl/>
        <w:snapToGrid w:val="0"/>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8.秩序维护和管理主要包括：门岗管理、车辆管理、监控管理、突发事件管理及其他安全秩序维护和管理服务。</w:t>
      </w:r>
    </w:p>
    <w:p>
      <w:pPr>
        <w:widowControl/>
        <w:snapToGrid w:val="0"/>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9.消防管理按照《中华人民共和国消防法》 《湖北省消防条例》 《高层民用建筑消防安全管理规定》要求执行。</w:t>
      </w:r>
    </w:p>
    <w:p>
      <w:pPr>
        <w:widowControl/>
        <w:snapToGrid w:val="0"/>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10.项目负责人应当具有大专以上学历，综合素质较好，具有一定的物业管理能力和经验，持有相关的物业管理岗位证书，3年以上相关工作经历，组织协调和沟通能力较强，形象良好。</w:t>
      </w:r>
    </w:p>
    <w:p>
      <w:pPr>
        <w:widowControl/>
        <w:snapToGrid w:val="0"/>
        <w:spacing w:line="360" w:lineRule="auto"/>
        <w:ind w:firstLine="480" w:firstLineChars="200"/>
        <w:jc w:val="left"/>
        <w:rPr>
          <w:rFonts w:hint="default" w:ascii="仿宋" w:hAnsi="仿宋" w:eastAsia="仿宋"/>
          <w:color w:val="auto"/>
          <w:sz w:val="24"/>
          <w:szCs w:val="24"/>
          <w:lang w:val="en-US" w:eastAsia="zh-CN"/>
        </w:rPr>
      </w:pPr>
      <w:r>
        <w:rPr>
          <w:rFonts w:hint="eastAsia" w:ascii="仿宋" w:hAnsi="仿宋" w:eastAsia="仿宋" w:cs="Times New Roman"/>
          <w:bCs/>
          <w:sz w:val="24"/>
          <w:szCs w:val="24"/>
          <w:lang w:val="en-US" w:eastAsia="zh-CN"/>
        </w:rPr>
        <w:t>11.物业服务内容中，采用非固定人员日常服务方式的（如单次执行、定期执行、按面积执行等），按照合同约定方式，另行结算。</w:t>
      </w:r>
    </w:p>
    <w:p>
      <w:pPr>
        <w:widowControl/>
        <w:snapToGrid w:val="0"/>
        <w:spacing w:line="360" w:lineRule="auto"/>
        <w:ind w:firstLine="482" w:firstLineChars="200"/>
        <w:jc w:val="left"/>
        <w:rPr>
          <w:rFonts w:hint="eastAsia" w:ascii="仿宋" w:hAnsi="仿宋" w:eastAsia="仿宋" w:cstheme="minorBidi"/>
          <w:b/>
          <w:bCs/>
          <w:kern w:val="2"/>
          <w:sz w:val="24"/>
          <w:szCs w:val="24"/>
          <w:lang w:val="zh-CN" w:eastAsia="zh-CN" w:bidi="ar-SA"/>
        </w:rPr>
      </w:pPr>
      <w:r>
        <w:rPr>
          <w:rFonts w:hint="eastAsia" w:ascii="仿宋" w:hAnsi="仿宋" w:eastAsia="仿宋" w:cstheme="minorBidi"/>
          <w:b/>
          <w:bCs/>
          <w:kern w:val="2"/>
          <w:sz w:val="24"/>
          <w:szCs w:val="24"/>
          <w:lang w:val="zh-CN" w:eastAsia="zh-CN" w:bidi="ar-SA"/>
        </w:rPr>
        <w:t>（</w:t>
      </w:r>
      <w:r>
        <w:rPr>
          <w:rFonts w:hint="eastAsia" w:ascii="仿宋" w:hAnsi="仿宋" w:eastAsia="仿宋" w:cstheme="minorBidi"/>
          <w:b/>
          <w:bCs/>
          <w:kern w:val="2"/>
          <w:sz w:val="24"/>
          <w:szCs w:val="24"/>
          <w:lang w:val="en-US" w:eastAsia="zh-CN" w:bidi="ar-SA"/>
        </w:rPr>
        <w:t>二</w:t>
      </w:r>
      <w:r>
        <w:rPr>
          <w:rFonts w:hint="eastAsia" w:ascii="仿宋" w:hAnsi="仿宋" w:eastAsia="仿宋" w:cstheme="minorBidi"/>
          <w:b/>
          <w:bCs/>
          <w:kern w:val="2"/>
          <w:sz w:val="24"/>
          <w:szCs w:val="24"/>
          <w:lang w:val="zh-CN" w:eastAsia="zh-CN" w:bidi="ar-SA"/>
        </w:rPr>
        <w:t>）</w:t>
      </w:r>
      <w:r>
        <w:rPr>
          <w:rFonts w:hint="eastAsia" w:ascii="仿宋" w:hAnsi="仿宋" w:eastAsia="仿宋" w:cstheme="minorBidi"/>
          <w:b/>
          <w:bCs/>
          <w:kern w:val="2"/>
          <w:sz w:val="24"/>
          <w:szCs w:val="24"/>
          <w:lang w:val="en-US" w:eastAsia="zh-CN" w:bidi="ar-SA"/>
        </w:rPr>
        <w:t>服务人员</w:t>
      </w:r>
      <w:r>
        <w:rPr>
          <w:rFonts w:hint="eastAsia" w:ascii="仿宋" w:hAnsi="仿宋" w:eastAsia="仿宋" w:cstheme="minorBidi"/>
          <w:b/>
          <w:bCs/>
          <w:kern w:val="2"/>
          <w:sz w:val="24"/>
          <w:szCs w:val="24"/>
          <w:lang w:val="zh-CN" w:eastAsia="zh-CN" w:bidi="ar-SA"/>
        </w:rPr>
        <w:t>要求</w:t>
      </w:r>
    </w:p>
    <w:tbl>
      <w:tblPr>
        <w:tblStyle w:val="9"/>
        <w:tblW w:w="50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5"/>
        <w:gridCol w:w="2947"/>
        <w:gridCol w:w="2753"/>
        <w:gridCol w:w="2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sz w:val="24"/>
                <w:szCs w:val="24"/>
              </w:rPr>
            </w:pPr>
            <w:r>
              <w:rPr>
                <w:rFonts w:hint="eastAsia" w:ascii="仿宋" w:hAnsi="仿宋" w:eastAsia="仿宋" w:cs="Times New Roman"/>
                <w:bCs/>
                <w:sz w:val="24"/>
                <w:szCs w:val="24"/>
                <w:lang w:val="en-US" w:eastAsia="zh-CN"/>
              </w:rPr>
              <w:t>序</w:t>
            </w:r>
            <w:r>
              <w:rPr>
                <w:rFonts w:hint="eastAsia" w:ascii="仿宋" w:hAnsi="仿宋" w:eastAsia="仿宋" w:cs="Times New Roman"/>
                <w:bCs/>
                <w:sz w:val="24"/>
                <w:szCs w:val="24"/>
              </w:rPr>
              <w:t>号</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r>
              <w:rPr>
                <w:rFonts w:hint="eastAsia" w:ascii="仿宋" w:hAnsi="仿宋" w:eastAsia="仿宋" w:cs="Times New Roman"/>
                <w:bCs/>
                <w:sz w:val="24"/>
                <w:szCs w:val="24"/>
              </w:rPr>
              <w:t>物业服务内容</w:t>
            </w:r>
          </w:p>
        </w:tc>
        <w:tc>
          <w:tcPr>
            <w:tcW w:w="1585" w:type="pct"/>
            <w:noWrap w:val="0"/>
            <w:vAlign w:val="center"/>
          </w:tcPr>
          <w:p>
            <w:pPr>
              <w:keepNext w:val="0"/>
              <w:keepLines w:val="0"/>
              <w:widowControl/>
              <w:suppressLineNumbers w:val="0"/>
              <w:snapToGrid w:val="0"/>
              <w:spacing w:before="0" w:beforeAutospacing="0" w:after="0" w:afterAutospacing="0" w:line="360" w:lineRule="auto"/>
              <w:ind w:left="0" w:right="0" w:firstLine="240" w:firstLineChars="100"/>
              <w:jc w:val="center"/>
              <w:rPr>
                <w:rFonts w:hint="eastAsia" w:ascii="仿宋" w:hAnsi="仿宋" w:eastAsia="仿宋" w:cs="Times New Roman"/>
                <w:bCs/>
                <w:sz w:val="24"/>
                <w:szCs w:val="24"/>
              </w:rPr>
            </w:pPr>
            <w:r>
              <w:rPr>
                <w:rFonts w:hint="eastAsia" w:ascii="仿宋" w:hAnsi="仿宋" w:eastAsia="仿宋" w:cs="Times New Roman"/>
                <w:bCs/>
                <w:sz w:val="24"/>
                <w:szCs w:val="24"/>
              </w:rPr>
              <w:t>服务人员工资要求</w:t>
            </w: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sz w:val="24"/>
                <w:szCs w:val="24"/>
              </w:rPr>
            </w:pPr>
            <w:r>
              <w:rPr>
                <w:rFonts w:hint="eastAsia" w:ascii="仿宋" w:hAnsi="仿宋" w:eastAsia="仿宋" w:cs="Times New Roman"/>
                <w:bCs/>
                <w:sz w:val="24"/>
                <w:szCs w:val="24"/>
              </w:rPr>
              <w:t>各工种上岗所需具备的执业资质及证书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sz w:val="24"/>
                <w:szCs w:val="24"/>
              </w:rPr>
            </w:pPr>
            <w:r>
              <w:rPr>
                <w:rFonts w:hint="eastAsia" w:ascii="仿宋" w:hAnsi="仿宋" w:eastAsia="仿宋" w:cs="Times New Roman"/>
                <w:bCs/>
                <w:sz w:val="24"/>
                <w:szCs w:val="24"/>
              </w:rPr>
              <w:t>1</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r>
              <w:rPr>
                <w:rFonts w:hint="eastAsia" w:ascii="仿宋" w:hAnsi="仿宋" w:eastAsia="仿宋" w:cs="Times New Roman"/>
                <w:bCs/>
                <w:sz w:val="24"/>
                <w:szCs w:val="24"/>
              </w:rPr>
              <w:t>卫生保洁</w:t>
            </w:r>
          </w:p>
        </w:tc>
        <w:tc>
          <w:tcPr>
            <w:tcW w:w="1585" w:type="pct"/>
            <w:vMerge w:val="restart"/>
            <w:noWrap w:val="0"/>
            <w:vAlign w:val="center"/>
          </w:tcPr>
          <w:p>
            <w:pPr>
              <w:keepNext w:val="0"/>
              <w:keepLines w:val="0"/>
              <w:widowControl/>
              <w:suppressLineNumbers w:val="0"/>
              <w:snapToGrid w:val="0"/>
              <w:spacing w:before="0" w:beforeAutospacing="0" w:after="0" w:afterAutospacing="0" w:line="360" w:lineRule="auto"/>
              <w:ind w:left="0" w:right="0" w:firstLine="420" w:firstLineChars="200"/>
              <w:jc w:val="center"/>
              <w:rPr>
                <w:rFonts w:hint="eastAsia"/>
              </w:rPr>
            </w:pPr>
            <w:r>
              <w:rPr>
                <w:rFonts w:hint="eastAsia"/>
              </w:rPr>
              <w:t>1.所有拟派服务人员的基本工资（含五险一金）等不得低于</w:t>
            </w:r>
            <w:r>
              <w:rPr>
                <w:rFonts w:hint="eastAsia"/>
                <w:lang w:val="en-US" w:eastAsia="zh-CN"/>
              </w:rPr>
              <w:t>鄂州</w:t>
            </w:r>
            <w:r>
              <w:rPr>
                <w:rFonts w:hint="eastAsia"/>
              </w:rPr>
              <w:t>市相关部门最新规定的最低工资标准。</w:t>
            </w:r>
          </w:p>
          <w:p>
            <w:pPr>
              <w:keepNext w:val="0"/>
              <w:keepLines w:val="0"/>
              <w:widowControl/>
              <w:suppressLineNumbers w:val="0"/>
              <w:snapToGrid w:val="0"/>
              <w:spacing w:before="0" w:beforeAutospacing="0" w:after="0" w:afterAutospacing="0" w:line="360" w:lineRule="auto"/>
              <w:ind w:left="0" w:right="0" w:firstLine="420" w:firstLineChars="200"/>
              <w:jc w:val="center"/>
              <w:rPr>
                <w:rFonts w:hint="eastAsia"/>
              </w:rPr>
            </w:pPr>
            <w:r>
              <w:rPr>
                <w:rFonts w:hint="eastAsia"/>
              </w:rPr>
              <w:t>2.服务期间如遇政府最低工资标准等上调，由投标人自行承担。</w:t>
            </w:r>
          </w:p>
          <w:p>
            <w:pPr>
              <w:keepNext w:val="0"/>
              <w:keepLines w:val="0"/>
              <w:widowControl/>
              <w:suppressLineNumbers w:val="0"/>
              <w:snapToGrid w:val="0"/>
              <w:spacing w:before="0" w:beforeAutospacing="0" w:after="0" w:afterAutospacing="0" w:line="360" w:lineRule="auto"/>
              <w:ind w:left="0" w:right="0" w:firstLine="420" w:firstLineChars="200"/>
              <w:jc w:val="center"/>
              <w:rPr>
                <w:rFonts w:hint="eastAsia"/>
              </w:rPr>
            </w:pPr>
            <w:r>
              <w:rPr>
                <w:rFonts w:hint="eastAsia"/>
                <w:lang w:val="en-US" w:eastAsia="zh-CN"/>
              </w:rPr>
              <w:t>3.所有拟派服务人员必须提供合同及相关证书。</w:t>
            </w:r>
          </w:p>
          <w:p>
            <w:pPr>
              <w:pStyle w:val="2"/>
              <w:keepNext w:val="0"/>
              <w:keepLines w:val="0"/>
              <w:suppressLineNumbers w:val="0"/>
              <w:spacing w:before="0" w:beforeAutospacing="0" w:after="0" w:afterAutospacing="0"/>
              <w:ind w:left="0" w:right="0"/>
              <w:jc w:val="center"/>
              <w:rPr>
                <w:rFonts w:hint="eastAsia"/>
              </w:rPr>
            </w:pP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sz w:val="24"/>
                <w:szCs w:val="24"/>
              </w:rPr>
            </w:pPr>
            <w:r>
              <w:rPr>
                <w:rFonts w:hint="eastAsia" w:ascii="仿宋" w:hAnsi="仿宋" w:eastAsia="仿宋" w:cs="Times New Roman"/>
                <w:bCs/>
                <w:sz w:val="24"/>
                <w:szCs w:val="24"/>
              </w:rPr>
              <w:t>家政服务员证（保洁服务）或健康证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2</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r>
              <w:rPr>
                <w:rFonts w:hint="eastAsia" w:ascii="仿宋" w:hAnsi="仿宋" w:eastAsia="仿宋" w:cs="Times New Roman"/>
                <w:bCs/>
                <w:sz w:val="24"/>
                <w:szCs w:val="24"/>
              </w:rPr>
              <w:t>秩序维护和管理</w:t>
            </w:r>
          </w:p>
        </w:tc>
        <w:tc>
          <w:tcPr>
            <w:tcW w:w="1585"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sz w:val="24"/>
                <w:szCs w:val="24"/>
              </w:rPr>
            </w:pPr>
            <w:r>
              <w:rPr>
                <w:rFonts w:hint="eastAsia" w:ascii="仿宋" w:hAnsi="仿宋" w:eastAsia="仿宋" w:cs="Times New Roman"/>
                <w:bCs/>
                <w:sz w:val="24"/>
                <w:szCs w:val="24"/>
              </w:rPr>
              <w:t>3</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r>
              <w:rPr>
                <w:rFonts w:hint="eastAsia" w:ascii="仿宋" w:hAnsi="仿宋" w:eastAsia="仿宋" w:cs="Times New Roman"/>
                <w:bCs/>
                <w:sz w:val="24"/>
                <w:szCs w:val="24"/>
              </w:rPr>
              <w:t>绿化养护和管理（含花卉摆放）</w:t>
            </w:r>
          </w:p>
        </w:tc>
        <w:tc>
          <w:tcPr>
            <w:tcW w:w="1585"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sz w:val="24"/>
                <w:szCs w:val="24"/>
              </w:rPr>
            </w:pPr>
            <w:r>
              <w:rPr>
                <w:rFonts w:hint="eastAsia" w:ascii="仿宋" w:hAnsi="仿宋" w:eastAsia="仿宋" w:cs="Times New Roman"/>
                <w:bCs/>
                <w:sz w:val="24"/>
                <w:szCs w:val="24"/>
              </w:rPr>
              <w:t>4</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r>
              <w:rPr>
                <w:rFonts w:hint="eastAsia" w:ascii="仿宋" w:hAnsi="仿宋" w:eastAsia="仿宋" w:cs="Times New Roman"/>
                <w:bCs/>
                <w:sz w:val="24"/>
                <w:szCs w:val="24"/>
              </w:rPr>
              <w:t>会务服务</w:t>
            </w:r>
          </w:p>
        </w:tc>
        <w:tc>
          <w:tcPr>
            <w:tcW w:w="1585"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sz w:val="24"/>
                <w:szCs w:val="24"/>
              </w:rPr>
            </w:pPr>
            <w:r>
              <w:rPr>
                <w:rFonts w:hint="eastAsia" w:ascii="仿宋" w:hAnsi="仿宋" w:eastAsia="仿宋" w:cs="Times New Roman"/>
                <w:bCs/>
                <w:sz w:val="24"/>
                <w:szCs w:val="24"/>
              </w:rPr>
              <w:t>专业类证书，如旅游、酒店管理等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sz w:val="24"/>
                <w:szCs w:val="24"/>
              </w:rPr>
            </w:pPr>
            <w:r>
              <w:rPr>
                <w:rFonts w:hint="eastAsia" w:ascii="仿宋" w:hAnsi="仿宋" w:eastAsia="仿宋" w:cs="Times New Roman"/>
                <w:bCs/>
                <w:sz w:val="24"/>
                <w:szCs w:val="24"/>
              </w:rPr>
              <w:t>5</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r>
              <w:rPr>
                <w:rFonts w:hint="eastAsia" w:ascii="仿宋" w:hAnsi="仿宋" w:eastAsia="仿宋" w:cs="Times New Roman"/>
                <w:bCs/>
                <w:sz w:val="24"/>
                <w:szCs w:val="24"/>
              </w:rPr>
              <w:t>暖通系统（含空调系统）维护</w:t>
            </w:r>
          </w:p>
        </w:tc>
        <w:tc>
          <w:tcPr>
            <w:tcW w:w="1585"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sz w:val="24"/>
                <w:szCs w:val="24"/>
              </w:rPr>
            </w:pPr>
            <w:r>
              <w:rPr>
                <w:rFonts w:hint="eastAsia" w:ascii="仿宋" w:hAnsi="仿宋" w:eastAsia="仿宋" w:cs="Times New Roman"/>
                <w:bCs/>
                <w:sz w:val="24"/>
                <w:szCs w:val="24"/>
              </w:rPr>
              <w:t>暖通工程师证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sz w:val="24"/>
                <w:szCs w:val="24"/>
              </w:rPr>
            </w:pPr>
            <w:r>
              <w:rPr>
                <w:rFonts w:hint="eastAsia" w:ascii="仿宋" w:hAnsi="仿宋" w:eastAsia="仿宋" w:cs="Times New Roman"/>
                <w:bCs/>
                <w:sz w:val="24"/>
                <w:szCs w:val="24"/>
              </w:rPr>
              <w:t>6</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r>
              <w:rPr>
                <w:rFonts w:hint="eastAsia" w:ascii="仿宋" w:hAnsi="仿宋" w:eastAsia="仿宋" w:cs="Times New Roman"/>
                <w:bCs/>
                <w:sz w:val="24"/>
                <w:szCs w:val="24"/>
              </w:rPr>
              <w:t>电梯设施安全管理</w:t>
            </w:r>
          </w:p>
        </w:tc>
        <w:tc>
          <w:tcPr>
            <w:tcW w:w="1585"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sz w:val="24"/>
                <w:szCs w:val="24"/>
              </w:rPr>
            </w:pPr>
            <w:r>
              <w:rPr>
                <w:rFonts w:hint="eastAsia" w:ascii="仿宋" w:hAnsi="仿宋" w:eastAsia="仿宋" w:cs="Times New Roman"/>
                <w:bCs/>
                <w:sz w:val="24"/>
                <w:szCs w:val="24"/>
              </w:rPr>
              <w:t>电梯安全管理员证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sz w:val="24"/>
                <w:szCs w:val="24"/>
              </w:rPr>
            </w:pPr>
            <w:r>
              <w:rPr>
                <w:rFonts w:hint="eastAsia" w:ascii="仿宋" w:hAnsi="仿宋" w:eastAsia="仿宋" w:cs="Times New Roman"/>
                <w:bCs/>
                <w:sz w:val="24"/>
                <w:szCs w:val="24"/>
              </w:rPr>
              <w:t>7</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r>
              <w:rPr>
                <w:rFonts w:hint="eastAsia" w:ascii="仿宋" w:hAnsi="仿宋" w:eastAsia="仿宋" w:cs="Times New Roman"/>
                <w:bCs/>
                <w:sz w:val="24"/>
                <w:szCs w:val="24"/>
              </w:rPr>
              <w:t>供配电系统维修保养</w:t>
            </w:r>
          </w:p>
        </w:tc>
        <w:tc>
          <w:tcPr>
            <w:tcW w:w="1585"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sz w:val="24"/>
                <w:szCs w:val="24"/>
                <w:lang w:val="en-US" w:eastAsia="zh-CN"/>
              </w:rPr>
            </w:pPr>
            <w:r>
              <w:rPr>
                <w:rFonts w:hint="eastAsia" w:ascii="仿宋" w:hAnsi="仿宋" w:eastAsia="仿宋" w:cs="Times New Roman"/>
                <w:bCs/>
                <w:sz w:val="24"/>
                <w:szCs w:val="24"/>
              </w:rPr>
              <w:t>电工证或电气及自动化工程师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sz w:val="24"/>
                <w:szCs w:val="24"/>
              </w:rPr>
            </w:pPr>
            <w:r>
              <w:rPr>
                <w:rFonts w:hint="eastAsia" w:ascii="仿宋" w:hAnsi="仿宋" w:eastAsia="仿宋" w:cs="Times New Roman"/>
                <w:bCs/>
                <w:sz w:val="24"/>
                <w:szCs w:val="24"/>
                <w:lang w:val="en-US" w:eastAsia="zh-CN"/>
              </w:rPr>
              <w:t>8</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r>
              <w:rPr>
                <w:rFonts w:hint="eastAsia" w:ascii="仿宋" w:hAnsi="仿宋" w:eastAsia="仿宋" w:cs="Times New Roman"/>
                <w:bCs/>
                <w:sz w:val="24"/>
                <w:szCs w:val="24"/>
              </w:rPr>
              <w:t>供水系统维修保养</w:t>
            </w:r>
          </w:p>
        </w:tc>
        <w:tc>
          <w:tcPr>
            <w:tcW w:w="1585"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sz w:val="24"/>
                <w:szCs w:val="24"/>
              </w:rPr>
            </w:pPr>
            <w:r>
              <w:rPr>
                <w:rFonts w:hint="eastAsia" w:ascii="仿宋" w:hAnsi="仿宋" w:eastAsia="仿宋" w:cs="Times New Roman"/>
                <w:bCs/>
                <w:sz w:val="24"/>
                <w:szCs w:val="24"/>
              </w:rPr>
              <w:t>供暖通风空调工程师证或机电一体化工程师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9</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rPr>
              <w:t>照明系统维修保养</w:t>
            </w:r>
          </w:p>
        </w:tc>
        <w:tc>
          <w:tcPr>
            <w:tcW w:w="1585"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jc w:val="both"/>
              <w:rPr>
                <w:rFonts w:hint="eastAsia" w:ascii="仿宋" w:hAnsi="仿宋" w:eastAsia="仿宋" w:cs="Times New Roman"/>
                <w:bCs/>
                <w:sz w:val="24"/>
                <w:szCs w:val="24"/>
              </w:rPr>
            </w:pPr>
            <w:r>
              <w:rPr>
                <w:rFonts w:hint="eastAsia" w:ascii="仿宋" w:hAnsi="仿宋" w:eastAsia="仿宋" w:cs="Times New Roman"/>
                <w:bCs/>
                <w:sz w:val="24"/>
                <w:szCs w:val="24"/>
              </w:rPr>
              <w:t>电工证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default" w:ascii="仿宋" w:hAnsi="仿宋" w:eastAsia="仿宋" w:cs="Times New Roman"/>
                <w:bCs/>
                <w:sz w:val="24"/>
                <w:szCs w:val="24"/>
                <w:lang w:val="en-US"/>
              </w:rPr>
            </w:pPr>
            <w:r>
              <w:rPr>
                <w:rFonts w:hint="eastAsia" w:ascii="仿宋" w:hAnsi="仿宋" w:eastAsia="仿宋" w:cs="Times New Roman"/>
                <w:bCs/>
                <w:sz w:val="24"/>
                <w:szCs w:val="24"/>
                <w:lang w:val="en-US" w:eastAsia="zh-CN"/>
              </w:rPr>
              <w:t>10</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default"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消防管理</w:t>
            </w:r>
          </w:p>
        </w:tc>
        <w:tc>
          <w:tcPr>
            <w:tcW w:w="1585"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eastAsia" w:ascii="仿宋" w:hAnsi="仿宋" w:eastAsia="仿宋" w:cs="Times New Roman"/>
                <w:bCs/>
                <w:sz w:val="24"/>
                <w:szCs w:val="24"/>
              </w:rPr>
            </w:pPr>
            <w:r>
              <w:rPr>
                <w:rFonts w:hint="eastAsia" w:ascii="仿宋" w:hAnsi="仿宋" w:eastAsia="仿宋" w:cs="Times New Roman"/>
                <w:bCs/>
                <w:sz w:val="24"/>
                <w:szCs w:val="24"/>
                <w:lang w:val="en-US" w:eastAsia="zh-CN"/>
              </w:rPr>
              <w:t>1</w:t>
            </w:r>
            <w:r>
              <w:rPr>
                <w:rFonts w:hint="eastAsia" w:ascii="仿宋" w:hAnsi="仿宋" w:eastAsia="仿宋" w:cs="Times New Roman"/>
                <w:bCs/>
                <w:sz w:val="24"/>
                <w:szCs w:val="24"/>
              </w:rPr>
              <w:t>1</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rPr>
              <w:t>项目负责人</w:t>
            </w:r>
          </w:p>
        </w:tc>
        <w:tc>
          <w:tcPr>
            <w:tcW w:w="1585"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c>
          <w:tcPr>
            <w:tcW w:w="1408"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308" w:type="pct"/>
            <w:noWrap w:val="0"/>
            <w:vAlign w:val="center"/>
          </w:tcPr>
          <w:p>
            <w:pPr>
              <w:keepNext w:val="0"/>
              <w:keepLines w:val="0"/>
              <w:widowControl/>
              <w:suppressLineNumbers w:val="0"/>
              <w:snapToGrid w:val="0"/>
              <w:spacing w:before="0" w:beforeAutospacing="0" w:after="0" w:afterAutospacing="0" w:line="360" w:lineRule="auto"/>
              <w:ind w:left="0" w:right="0"/>
              <w:jc w:val="center"/>
              <w:rPr>
                <w:rFonts w:hint="default"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12</w:t>
            </w:r>
          </w:p>
        </w:tc>
        <w:tc>
          <w:tcPr>
            <w:tcW w:w="1697"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r>
              <w:rPr>
                <w:rFonts w:hint="eastAsia" w:ascii="仿宋" w:hAnsi="仿宋" w:eastAsia="仿宋" w:cs="Times New Roman"/>
                <w:bCs/>
                <w:sz w:val="24"/>
                <w:szCs w:val="24"/>
              </w:rPr>
              <w:t>管理费（含耗材、投入设备维护、投入人员服装、节假日加班费等）</w:t>
            </w:r>
          </w:p>
        </w:tc>
        <w:tc>
          <w:tcPr>
            <w:tcW w:w="2993" w:type="pct"/>
            <w:gridSpan w:val="2"/>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center"/>
              <w:rPr>
                <w:rFonts w:hint="eastAsia" w:ascii="仿宋" w:hAnsi="仿宋" w:eastAsia="仿宋" w:cs="Times New Roman"/>
                <w:bCs/>
                <w:sz w:val="24"/>
                <w:szCs w:val="24"/>
              </w:rPr>
            </w:pPr>
            <w:r>
              <w:rPr>
                <w:rFonts w:hint="eastAsia" w:ascii="仿宋" w:hAnsi="仿宋" w:eastAsia="仿宋" w:cs="Times New Roman"/>
                <w:bCs/>
                <w:sz w:val="24"/>
                <w:szCs w:val="24"/>
              </w:rPr>
              <w:t>（服务人员月工资×拟投入人员数量）×服务费取费比率</w:t>
            </w:r>
          </w:p>
        </w:tc>
      </w:tr>
    </w:tbl>
    <w:p>
      <w:pPr>
        <w:spacing w:line="360" w:lineRule="auto"/>
        <w:ind w:firstLine="480" w:firstLineChars="200"/>
        <w:rPr>
          <w:rFonts w:hint="default" w:ascii="仿宋" w:hAnsi="仿宋" w:eastAsia="仿宋"/>
          <w:sz w:val="24"/>
          <w:szCs w:val="24"/>
          <w:lang w:val="en-US" w:eastAsia="zh-CN"/>
        </w:rPr>
      </w:pPr>
    </w:p>
    <w:bookmarkEnd w:id="5"/>
    <w:bookmarkEnd w:id="6"/>
    <w:p>
      <w:pPr>
        <w:pStyle w:val="4"/>
        <w:numPr>
          <w:ilvl w:val="0"/>
          <w:numId w:val="0"/>
        </w:numPr>
        <w:spacing w:before="0" w:after="0" w:line="360" w:lineRule="auto"/>
        <w:jc w:val="left"/>
        <w:rPr>
          <w:rFonts w:ascii="仿宋" w:hAnsi="仿宋" w:eastAsia="仿宋"/>
          <w:bCs w:val="0"/>
          <w:sz w:val="28"/>
          <w:szCs w:val="28"/>
          <w:lang w:val="zh-CN"/>
        </w:rPr>
      </w:pPr>
      <w:bookmarkStart w:id="12" w:name="_Toc692"/>
      <w:bookmarkStart w:id="13" w:name="_Toc1035"/>
      <w:bookmarkStart w:id="14" w:name="_Toc18213"/>
      <w:bookmarkStart w:id="15" w:name="_Toc16212"/>
      <w:bookmarkStart w:id="16" w:name="_Toc11327"/>
      <w:bookmarkStart w:id="17" w:name="_Toc20591"/>
      <w:bookmarkStart w:id="18" w:name="_Toc16979"/>
      <w:bookmarkStart w:id="19" w:name="_Toc48134916"/>
      <w:r>
        <w:rPr>
          <w:rFonts w:hint="eastAsia" w:ascii="仿宋" w:hAnsi="仿宋" w:eastAsia="仿宋"/>
          <w:bCs w:val="0"/>
          <w:sz w:val="28"/>
          <w:szCs w:val="28"/>
          <w:lang w:val="en-US" w:eastAsia="zh-CN"/>
        </w:rPr>
        <w:t>（三）报价</w:t>
      </w:r>
      <w:r>
        <w:rPr>
          <w:rFonts w:hint="eastAsia" w:ascii="仿宋" w:hAnsi="仿宋" w:eastAsia="仿宋"/>
          <w:bCs w:val="0"/>
          <w:sz w:val="28"/>
          <w:szCs w:val="28"/>
          <w:lang w:val="zh-CN"/>
        </w:rPr>
        <w:t>要求</w:t>
      </w:r>
      <w:bookmarkEnd w:id="12"/>
      <w:bookmarkEnd w:id="13"/>
      <w:bookmarkEnd w:id="14"/>
      <w:bookmarkEnd w:id="15"/>
      <w:bookmarkEnd w:id="16"/>
      <w:bookmarkEnd w:id="17"/>
      <w:bookmarkEnd w:id="18"/>
    </w:p>
    <w:p>
      <w:pPr>
        <w:widowControl/>
        <w:snapToGrid w:val="0"/>
        <w:spacing w:line="360" w:lineRule="auto"/>
        <w:ind w:firstLine="480" w:firstLineChars="200"/>
        <w:jc w:val="left"/>
        <w:rPr>
          <w:rFonts w:hint="default"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供应商按照征集公告附件《物业管理报价清单》的“供应商报价表”中内容进行报价，不得缺项漏项，且报价不得超出最高限制单价，否则视为无效投标。</w:t>
      </w:r>
    </w:p>
    <w:p>
      <w:pPr>
        <w:widowControl/>
        <w:snapToGrid w:val="0"/>
        <w:spacing w:line="360" w:lineRule="auto"/>
        <w:ind w:firstLine="480" w:firstLineChars="200"/>
        <w:jc w:val="left"/>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供应商报价表如下所示：</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2921"/>
        <w:gridCol w:w="2185"/>
        <w:gridCol w:w="2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序号</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物业服务内容</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lang w:val="en-US" w:eastAsia="zh-CN"/>
              </w:rPr>
              <w:t>最高限制单价</w:t>
            </w:r>
            <w:r>
              <w:rPr>
                <w:rFonts w:hint="eastAsia" w:ascii="仿宋" w:hAnsi="仿宋" w:eastAsia="仿宋" w:cs="Times New Roman"/>
                <w:bCs/>
                <w:sz w:val="24"/>
                <w:szCs w:val="24"/>
              </w:rPr>
              <w:t>（元/人/月）</w:t>
            </w:r>
          </w:p>
        </w:tc>
        <w:tc>
          <w:tcPr>
            <w:tcW w:w="1490"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default" w:ascii="仿宋" w:hAnsi="仿宋" w:eastAsia="仿宋" w:cs="Times New Roman"/>
                <w:bCs/>
                <w:sz w:val="24"/>
                <w:szCs w:val="24"/>
                <w:lang w:eastAsia="zh-CN"/>
              </w:rPr>
            </w:pPr>
            <w:r>
              <w:rPr>
                <w:rFonts w:hint="default" w:ascii="仿宋" w:hAnsi="仿宋" w:eastAsia="仿宋" w:cs="Times New Roman"/>
                <w:bCs/>
                <w:sz w:val="24"/>
                <w:szCs w:val="24"/>
                <w:lang w:eastAsia="zh-CN"/>
              </w:rPr>
              <w:t>报价折扣率（%）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1</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卫生保洁</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lang w:val="en-US" w:eastAsia="zh-CN"/>
              </w:rPr>
              <w:t>3500</w:t>
            </w:r>
          </w:p>
        </w:tc>
        <w:tc>
          <w:tcPr>
            <w:tcW w:w="1490" w:type="pct"/>
            <w:vMerge w:val="restar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default" w:ascii="仿宋" w:hAnsi="仿宋" w:eastAsia="仿宋" w:cs="Times New Roman"/>
                <w:bCs/>
                <w:sz w:val="24"/>
                <w:szCs w:val="24"/>
                <w:lang w:eastAsia="zh-CN"/>
              </w:rPr>
            </w:pPr>
            <w:r>
              <w:rPr>
                <w:rFonts w:hint="default" w:ascii="仿宋" w:hAnsi="仿宋" w:eastAsia="仿宋" w:cs="Times New Roman"/>
                <w:bCs/>
                <w:sz w:val="24"/>
                <w:szCs w:val="24"/>
                <w:lang w:eastAsia="zh-CN"/>
              </w:rPr>
              <w:t>请供应商报价至两位小数或以上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2</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安全秩序维护和管理</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lang w:val="en-US" w:eastAsia="zh-CN"/>
              </w:rPr>
              <w:t>4500</w:t>
            </w:r>
          </w:p>
        </w:tc>
        <w:tc>
          <w:tcPr>
            <w:tcW w:w="1490"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3</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绿化养护和管理（含花卉摆放）</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lang w:val="en-US" w:eastAsia="zh-CN"/>
              </w:rPr>
              <w:t>4800</w:t>
            </w:r>
          </w:p>
        </w:tc>
        <w:tc>
          <w:tcPr>
            <w:tcW w:w="1490"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4</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会务服务</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lang w:val="en-US" w:eastAsia="zh-CN"/>
              </w:rPr>
              <w:t>5500</w:t>
            </w:r>
          </w:p>
        </w:tc>
        <w:tc>
          <w:tcPr>
            <w:tcW w:w="1490"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5</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暖通系统（含空调系统）维护</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lang w:val="en-US" w:eastAsia="zh-CN"/>
              </w:rPr>
              <w:t>5800</w:t>
            </w:r>
          </w:p>
        </w:tc>
        <w:tc>
          <w:tcPr>
            <w:tcW w:w="1490"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6</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电梯设施安全管理</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lang w:val="en-US" w:eastAsia="zh-CN" w:bidi="ar-SA"/>
              </w:rPr>
            </w:pPr>
            <w:r>
              <w:rPr>
                <w:rFonts w:hint="eastAsia" w:ascii="仿宋" w:hAnsi="仿宋" w:eastAsia="仿宋" w:cs="Times New Roman"/>
                <w:bCs/>
                <w:sz w:val="24"/>
                <w:szCs w:val="24"/>
                <w:lang w:val="en-US" w:eastAsia="zh-CN"/>
              </w:rPr>
              <w:t>5800</w:t>
            </w:r>
          </w:p>
        </w:tc>
        <w:tc>
          <w:tcPr>
            <w:tcW w:w="1490"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7</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供配电系统维修保养</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lang w:val="en-US" w:eastAsia="zh-CN" w:bidi="ar-SA"/>
              </w:rPr>
            </w:pPr>
            <w:r>
              <w:rPr>
                <w:rFonts w:hint="eastAsia" w:ascii="仿宋" w:hAnsi="仿宋" w:eastAsia="仿宋" w:cs="Times New Roman"/>
                <w:bCs/>
                <w:sz w:val="24"/>
                <w:szCs w:val="24"/>
                <w:lang w:val="en-US" w:eastAsia="zh-CN"/>
              </w:rPr>
              <w:t>5800</w:t>
            </w:r>
          </w:p>
        </w:tc>
        <w:tc>
          <w:tcPr>
            <w:tcW w:w="1490"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8</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供水系统维修保养</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lang w:val="en-US" w:eastAsia="zh-CN" w:bidi="ar-SA"/>
              </w:rPr>
            </w:pPr>
            <w:r>
              <w:rPr>
                <w:rFonts w:hint="eastAsia" w:ascii="仿宋" w:hAnsi="仿宋" w:eastAsia="仿宋" w:cs="Times New Roman"/>
                <w:bCs/>
                <w:sz w:val="24"/>
                <w:szCs w:val="24"/>
                <w:lang w:val="en-US" w:eastAsia="zh-CN"/>
              </w:rPr>
              <w:t>5800</w:t>
            </w:r>
          </w:p>
        </w:tc>
        <w:tc>
          <w:tcPr>
            <w:tcW w:w="1490"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9</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照明系统维修保养</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lang w:val="en-US" w:eastAsia="zh-CN" w:bidi="ar-SA"/>
              </w:rPr>
            </w:pPr>
            <w:r>
              <w:rPr>
                <w:rFonts w:hint="eastAsia" w:ascii="仿宋" w:hAnsi="仿宋" w:eastAsia="仿宋" w:cs="Times New Roman"/>
                <w:bCs/>
                <w:sz w:val="24"/>
                <w:szCs w:val="24"/>
                <w:lang w:val="en-US" w:eastAsia="zh-CN"/>
              </w:rPr>
              <w:t>5800</w:t>
            </w:r>
          </w:p>
        </w:tc>
        <w:tc>
          <w:tcPr>
            <w:tcW w:w="1490"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10</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default"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消防管理</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lang w:val="en-US" w:eastAsia="zh-CN" w:bidi="ar-SA"/>
              </w:rPr>
            </w:pPr>
            <w:r>
              <w:rPr>
                <w:rFonts w:hint="eastAsia" w:ascii="仿宋" w:hAnsi="仿宋" w:eastAsia="仿宋" w:cs="Times New Roman"/>
                <w:bCs/>
                <w:sz w:val="24"/>
                <w:szCs w:val="24"/>
                <w:lang w:val="en-US" w:eastAsia="zh-CN"/>
              </w:rPr>
              <w:t>6000</w:t>
            </w:r>
          </w:p>
        </w:tc>
        <w:tc>
          <w:tcPr>
            <w:tcW w:w="1490"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default" w:ascii="仿宋" w:hAnsi="仿宋" w:eastAsia="仿宋" w:cs="Times New Roman"/>
                <w:bCs/>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11</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项目负责人</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lang w:val="en-US" w:eastAsia="zh-CN" w:bidi="ar-SA"/>
              </w:rPr>
            </w:pPr>
            <w:r>
              <w:rPr>
                <w:rFonts w:hint="eastAsia" w:ascii="仿宋" w:hAnsi="仿宋" w:eastAsia="仿宋" w:cs="Times New Roman"/>
                <w:bCs/>
                <w:sz w:val="24"/>
                <w:szCs w:val="24"/>
                <w:lang w:val="en-US" w:eastAsia="zh-CN"/>
              </w:rPr>
              <w:t>9000</w:t>
            </w:r>
          </w:p>
        </w:tc>
        <w:tc>
          <w:tcPr>
            <w:tcW w:w="1490"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513" w:type="pct"/>
            <w:noWrap w:val="0"/>
            <w:vAlign w:val="center"/>
          </w:tcPr>
          <w:p>
            <w:pPr>
              <w:keepNext w:val="0"/>
              <w:keepLines w:val="0"/>
              <w:widowControl/>
              <w:suppressLineNumbers w:val="0"/>
              <w:snapToGrid w:val="0"/>
              <w:spacing w:before="0" w:beforeAutospacing="0" w:after="0" w:afterAutospacing="0" w:line="360" w:lineRule="auto"/>
              <w:ind w:left="0" w:right="0"/>
              <w:jc w:val="left"/>
              <w:rPr>
                <w:rFonts w:hint="eastAsia" w:ascii="仿宋" w:hAnsi="仿宋" w:eastAsia="仿宋" w:cs="Times New Roman"/>
                <w:bCs/>
                <w:sz w:val="24"/>
                <w:szCs w:val="24"/>
              </w:rPr>
            </w:pPr>
            <w:r>
              <w:rPr>
                <w:rFonts w:hint="eastAsia" w:ascii="仿宋" w:hAnsi="仿宋" w:eastAsia="仿宋" w:cs="Times New Roman"/>
                <w:bCs/>
                <w:sz w:val="24"/>
                <w:szCs w:val="24"/>
              </w:rPr>
              <w:t>12</w:t>
            </w:r>
          </w:p>
        </w:tc>
        <w:tc>
          <w:tcPr>
            <w:tcW w:w="1713"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rPr>
            </w:pPr>
            <w:r>
              <w:rPr>
                <w:rFonts w:hint="eastAsia" w:ascii="仿宋" w:hAnsi="仿宋" w:eastAsia="仿宋" w:cs="Times New Roman"/>
                <w:bCs/>
                <w:sz w:val="24"/>
                <w:szCs w:val="24"/>
              </w:rPr>
              <w:t>管理费取费比率</w:t>
            </w:r>
          </w:p>
        </w:tc>
        <w:tc>
          <w:tcPr>
            <w:tcW w:w="1281" w:type="pct"/>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kern w:val="2"/>
                <w:sz w:val="24"/>
                <w:szCs w:val="24"/>
                <w:lang w:val="en-US" w:eastAsia="zh-CN" w:bidi="ar-SA"/>
              </w:rPr>
            </w:pPr>
            <w:r>
              <w:rPr>
                <w:rFonts w:hint="eastAsia" w:ascii="仿宋" w:hAnsi="仿宋" w:eastAsia="仿宋" w:cs="Times New Roman"/>
                <w:bCs/>
                <w:sz w:val="24"/>
                <w:szCs w:val="24"/>
                <w:lang w:val="en-US" w:eastAsia="zh-CN"/>
              </w:rPr>
              <w:t>30%</w:t>
            </w:r>
          </w:p>
        </w:tc>
        <w:tc>
          <w:tcPr>
            <w:tcW w:w="1490" w:type="pct"/>
            <w:vMerge w:val="continue"/>
            <w:noWrap w:val="0"/>
            <w:vAlign w:val="center"/>
          </w:tcPr>
          <w:p>
            <w:pPr>
              <w:keepNext w:val="0"/>
              <w:keepLines w:val="0"/>
              <w:widowControl/>
              <w:suppressLineNumbers w:val="0"/>
              <w:snapToGrid w:val="0"/>
              <w:spacing w:before="0" w:beforeAutospacing="0" w:after="0" w:afterAutospacing="0" w:line="360" w:lineRule="auto"/>
              <w:ind w:left="0" w:right="0" w:firstLine="480" w:firstLineChars="200"/>
              <w:jc w:val="left"/>
              <w:rPr>
                <w:rFonts w:hint="eastAsia" w:ascii="仿宋" w:hAnsi="仿宋" w:eastAsia="仿宋" w:cs="Times New Roman"/>
                <w:bCs/>
                <w:sz w:val="24"/>
                <w:szCs w:val="24"/>
                <w:lang w:val="en-US" w:eastAsia="zh-CN"/>
              </w:rPr>
            </w:pPr>
          </w:p>
        </w:tc>
      </w:tr>
    </w:tbl>
    <w:p>
      <w:pPr>
        <w:pStyle w:val="2"/>
        <w:spacing w:before="0" w:beforeLines="0" w:after="0" w:afterLines="0" w:line="240" w:lineRule="auto"/>
        <w:ind w:firstLine="482"/>
        <w:rPr>
          <w:rFonts w:hint="eastAsia" w:ascii="仿宋" w:hAnsi="仿宋" w:eastAsia="仿宋"/>
          <w:b/>
          <w:color w:val="auto"/>
        </w:rPr>
      </w:pPr>
      <w:r>
        <w:rPr>
          <w:rFonts w:hint="eastAsia" w:ascii="仿宋" w:hAnsi="仿宋" w:eastAsia="仿宋"/>
          <w:b/>
        </w:rPr>
        <w:t>注：</w:t>
      </w:r>
      <w:r>
        <w:rPr>
          <w:rFonts w:hint="eastAsia" w:ascii="仿宋" w:hAnsi="仿宋" w:eastAsia="仿宋"/>
          <w:b/>
          <w:color w:val="auto"/>
        </w:rPr>
        <w:t>请供应商综合考虑服务的成本、效益等因素，结合以下情况，慎重填写本次报价内容：</w:t>
      </w:r>
    </w:p>
    <w:p>
      <w:pPr>
        <w:pStyle w:val="2"/>
        <w:spacing w:before="0" w:beforeLines="0" w:after="0" w:afterLines="0" w:line="240" w:lineRule="auto"/>
        <w:ind w:firstLine="482"/>
        <w:rPr>
          <w:rFonts w:ascii="仿宋" w:hAnsi="仿宋" w:eastAsia="仿宋"/>
          <w:b/>
          <w:color w:val="auto"/>
        </w:rPr>
      </w:pPr>
      <w:r>
        <w:rPr>
          <w:rFonts w:hint="eastAsia" w:ascii="仿宋" w:hAnsi="仿宋" w:eastAsia="仿宋"/>
          <w:b/>
          <w:sz w:val="24"/>
        </w:rPr>
        <w:t>投标人对于不同</w:t>
      </w:r>
      <w:r>
        <w:rPr>
          <w:rFonts w:hint="default" w:ascii="仿宋" w:hAnsi="仿宋" w:eastAsia="仿宋"/>
          <w:b/>
          <w:sz w:val="24"/>
        </w:rPr>
        <w:t>物业服务</w:t>
      </w:r>
      <w:r>
        <w:rPr>
          <w:rFonts w:hint="eastAsia" w:ascii="仿宋" w:hAnsi="仿宋" w:eastAsia="仿宋"/>
          <w:b/>
          <w:sz w:val="24"/>
        </w:rPr>
        <w:t>内容需报出同一个固定值折扣率（</w:t>
      </w:r>
      <w:r>
        <w:rPr>
          <w:rFonts w:hint="default" w:ascii="仿宋" w:hAnsi="仿宋" w:eastAsia="仿宋"/>
          <w:b/>
          <w:sz w:val="24"/>
        </w:rPr>
        <w:t>人员</w:t>
      </w:r>
      <w:r>
        <w:rPr>
          <w:rFonts w:hint="eastAsia" w:ascii="仿宋" w:hAnsi="仿宋" w:eastAsia="仿宋"/>
          <w:b/>
          <w:sz w:val="24"/>
        </w:rPr>
        <w:t>和管理费取费比率的折扣率必须相等），且不得超出每个档次的最高</w:t>
      </w:r>
      <w:r>
        <w:rPr>
          <w:rFonts w:hint="default" w:ascii="仿宋" w:hAnsi="仿宋" w:eastAsia="仿宋"/>
          <w:b/>
          <w:sz w:val="24"/>
        </w:rPr>
        <w:t>限制单价</w:t>
      </w:r>
      <w:r>
        <w:rPr>
          <w:rFonts w:hint="eastAsia" w:ascii="仿宋" w:hAnsi="仿宋" w:eastAsia="仿宋"/>
          <w:b/>
          <w:sz w:val="24"/>
        </w:rPr>
        <w:t>（0＜折扣率≤100%）。</w:t>
      </w:r>
    </w:p>
    <w:bookmarkEnd w:id="19"/>
    <w:p>
      <w:pPr>
        <w:numPr>
          <w:ilvl w:val="0"/>
          <w:numId w:val="0"/>
        </w:numPr>
        <w:ind w:left="210" w:leftChars="0"/>
        <w:outlineLvl w:val="0"/>
        <w:rPr>
          <w:rFonts w:hint="eastAsia" w:ascii="仿宋_GB2312" w:hAnsi="宋体" w:eastAsia="仿宋_GB2312" w:cs="Times New Roman"/>
          <w:b/>
          <w:bCs/>
          <w:color w:val="auto"/>
          <w:sz w:val="28"/>
          <w:szCs w:val="28"/>
          <w:lang w:val="en-US" w:eastAsia="zh-CN"/>
        </w:rPr>
      </w:pPr>
      <w:bookmarkStart w:id="20" w:name="_Toc2889"/>
      <w:bookmarkStart w:id="21" w:name="_Toc30392"/>
      <w:r>
        <w:rPr>
          <w:rFonts w:hint="eastAsia" w:ascii="仿宋_GB2312" w:hAnsi="宋体" w:eastAsia="仿宋_GB2312" w:cs="Times New Roman"/>
          <w:b/>
          <w:bCs/>
          <w:color w:val="auto"/>
          <w:sz w:val="28"/>
          <w:szCs w:val="28"/>
          <w:lang w:val="en-US" w:eastAsia="zh-CN"/>
        </w:rPr>
        <w:t>（二）供应商报价要求</w:t>
      </w:r>
      <w:bookmarkEnd w:id="20"/>
      <w:r>
        <w:rPr>
          <w:rFonts w:hint="eastAsia" w:ascii="仿宋_GB2312" w:hAnsi="宋体" w:eastAsia="仿宋_GB2312" w:cs="Times New Roman"/>
          <w:b/>
          <w:bCs/>
          <w:color w:val="auto"/>
          <w:sz w:val="28"/>
          <w:szCs w:val="28"/>
          <w:lang w:val="en-US" w:eastAsia="zh-CN"/>
        </w:rPr>
        <w:t>：</w:t>
      </w:r>
      <w:bookmarkEnd w:id="21"/>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1.供应商所有报价均应为含税价格。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Times New Roman"/>
          <w:color w:val="auto"/>
          <w:sz w:val="24"/>
          <w:szCs w:val="24"/>
          <w:lang w:eastAsia="zh-CN"/>
        </w:rPr>
      </w:pPr>
      <w:r>
        <w:rPr>
          <w:rFonts w:hint="eastAsia" w:ascii="仿宋" w:hAnsi="仿宋" w:eastAsia="仿宋" w:cs="Times New Roman"/>
          <w:color w:val="auto"/>
          <w:sz w:val="24"/>
          <w:szCs w:val="24"/>
          <w:lang w:val="en-US" w:eastAsia="zh-CN"/>
        </w:rPr>
        <w:t>2.</w:t>
      </w:r>
      <w:r>
        <w:rPr>
          <w:rFonts w:hint="eastAsia" w:ascii="仿宋" w:hAnsi="仿宋" w:eastAsia="仿宋" w:cs="仿宋"/>
          <w:b/>
          <w:bCs/>
          <w:sz w:val="24"/>
          <w:szCs w:val="24"/>
          <w:lang w:val="en-US" w:eastAsia="zh-CN"/>
        </w:rPr>
        <w:t>报价折扣率</w:t>
      </w:r>
      <w:r>
        <w:rPr>
          <w:rFonts w:hint="eastAsia" w:ascii="仿宋" w:hAnsi="仿宋" w:eastAsia="仿宋" w:cs="仿宋"/>
          <w:b w:val="0"/>
          <w:bCs w:val="0"/>
          <w:sz w:val="24"/>
          <w:szCs w:val="24"/>
          <w:lang w:val="en-US" w:eastAsia="zh-CN"/>
        </w:rPr>
        <w:t>是指以</w:t>
      </w:r>
      <w:r>
        <w:rPr>
          <w:rFonts w:hint="eastAsia" w:ascii="仿宋" w:hAnsi="仿宋" w:eastAsia="仿宋" w:cs="Times New Roman"/>
          <w:color w:val="auto"/>
          <w:sz w:val="24"/>
          <w:szCs w:val="24"/>
          <w:lang w:val="en-US" w:eastAsia="zh-CN"/>
        </w:rPr>
        <w:t>本所收费标准</w:t>
      </w:r>
      <w:r>
        <w:rPr>
          <w:rFonts w:hint="eastAsia" w:ascii="仿宋" w:hAnsi="仿宋" w:eastAsia="仿宋" w:cs="仿宋"/>
          <w:b w:val="0"/>
          <w:bCs w:val="0"/>
          <w:sz w:val="24"/>
          <w:szCs w:val="24"/>
          <w:lang w:val="en-US" w:eastAsia="zh-CN"/>
        </w:rPr>
        <w:t>为基准的折扣，如：针对某项服务项目，按照最高限制单价为</w:t>
      </w:r>
      <w:r>
        <w:rPr>
          <w:rFonts w:hint="default" w:ascii="仿宋" w:hAnsi="仿宋" w:eastAsia="仿宋" w:cs="仿宋"/>
          <w:b w:val="0"/>
          <w:bCs w:val="0"/>
          <w:sz w:val="24"/>
          <w:szCs w:val="24"/>
          <w:lang w:eastAsia="zh-CN"/>
        </w:rPr>
        <w:t>9</w:t>
      </w:r>
      <w:r>
        <w:rPr>
          <w:rFonts w:hint="eastAsia" w:ascii="仿宋" w:hAnsi="仿宋" w:eastAsia="仿宋" w:cs="仿宋"/>
          <w:b w:val="0"/>
          <w:bCs w:val="0"/>
          <w:sz w:val="24"/>
          <w:szCs w:val="24"/>
          <w:lang w:val="en-US" w:eastAsia="zh-CN"/>
        </w:rPr>
        <w:t>000元，供应商本次报价折扣率为99.258％，则针对该项服务该供应商协议价格为</w:t>
      </w:r>
      <w:r>
        <w:rPr>
          <w:rFonts w:hint="default" w:ascii="仿宋" w:hAnsi="仿宋" w:eastAsia="仿宋" w:cs="仿宋"/>
          <w:b w:val="0"/>
          <w:bCs w:val="0"/>
          <w:sz w:val="24"/>
          <w:szCs w:val="24"/>
          <w:lang w:eastAsia="zh-CN"/>
        </w:rPr>
        <w:t>8933.22</w:t>
      </w:r>
      <w:r>
        <w:rPr>
          <w:rFonts w:hint="eastAsia" w:ascii="仿宋" w:hAnsi="仿宋" w:eastAsia="仿宋" w:cs="仿宋"/>
          <w:b w:val="0"/>
          <w:bCs w:val="0"/>
          <w:sz w:val="24"/>
          <w:szCs w:val="24"/>
          <w:lang w:val="en-US" w:eastAsia="zh-CN"/>
        </w:rPr>
        <w:t>元 （</w:t>
      </w:r>
      <w:r>
        <w:rPr>
          <w:rFonts w:hint="default" w:ascii="仿宋" w:hAnsi="仿宋" w:eastAsia="仿宋" w:cs="仿宋"/>
          <w:b w:val="0"/>
          <w:bCs w:val="0"/>
          <w:sz w:val="24"/>
          <w:szCs w:val="24"/>
          <w:lang w:eastAsia="zh-CN"/>
        </w:rPr>
        <w:t>9</w:t>
      </w:r>
      <w:r>
        <w:rPr>
          <w:rFonts w:hint="eastAsia" w:ascii="仿宋" w:hAnsi="仿宋" w:eastAsia="仿宋" w:cs="仿宋"/>
          <w:b w:val="0"/>
          <w:bCs w:val="0"/>
          <w:sz w:val="24"/>
          <w:szCs w:val="24"/>
          <w:lang w:val="en-US" w:eastAsia="zh-CN"/>
        </w:rPr>
        <w:t>000*99.258％=</w:t>
      </w:r>
      <w:r>
        <w:rPr>
          <w:rFonts w:hint="default" w:ascii="仿宋" w:hAnsi="仿宋" w:eastAsia="仿宋" w:cs="仿宋"/>
          <w:b w:val="0"/>
          <w:bCs w:val="0"/>
          <w:sz w:val="24"/>
          <w:szCs w:val="24"/>
          <w:lang w:eastAsia="zh-CN"/>
        </w:rPr>
        <w:t>8933.22</w:t>
      </w:r>
      <w:r>
        <w:rPr>
          <w:rFonts w:hint="eastAsia" w:ascii="仿宋" w:hAnsi="仿宋" w:eastAsia="仿宋" w:cs="仿宋"/>
          <w:b w:val="0"/>
          <w:bCs w:val="0"/>
          <w:sz w:val="24"/>
          <w:szCs w:val="24"/>
          <w:lang w:val="en-US" w:eastAsia="zh-CN"/>
        </w:rPr>
        <w:t>元）</w:t>
      </w:r>
      <w:r>
        <w:rPr>
          <w:rFonts w:hint="default" w:ascii="仿宋" w:hAnsi="仿宋" w:eastAsia="仿宋" w:cs="仿宋"/>
          <w:b w:val="0"/>
          <w:bCs w:val="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b/>
          <w:bCs/>
          <w:color w:val="auto"/>
          <w:sz w:val="24"/>
          <w:szCs w:val="24"/>
          <w:lang w:val="en-US" w:eastAsia="zh-CN"/>
        </w:rPr>
      </w:pPr>
      <w:r>
        <w:rPr>
          <w:rFonts w:hint="eastAsia" w:ascii="仿宋" w:hAnsi="仿宋" w:eastAsia="仿宋" w:cs="Times New Roman"/>
          <w:color w:val="auto"/>
          <w:sz w:val="24"/>
          <w:szCs w:val="24"/>
          <w:lang w:val="en-US" w:eastAsia="zh-CN"/>
        </w:rPr>
        <w:t>★</w:t>
      </w:r>
      <w:r>
        <w:rPr>
          <w:rFonts w:hint="eastAsia" w:ascii="仿宋" w:hAnsi="仿宋" w:eastAsia="仿宋" w:cs="Times New Roman"/>
          <w:b/>
          <w:bCs/>
          <w:color w:val="auto"/>
          <w:sz w:val="24"/>
          <w:szCs w:val="24"/>
          <w:lang w:val="en-US" w:eastAsia="zh-CN"/>
        </w:rPr>
        <w:t>3.供应商根据前述报价要求，对所投采购包进行报价，填写“供应商报价”栏</w:t>
      </w:r>
      <w:r>
        <w:rPr>
          <w:rFonts w:hint="eastAsia" w:ascii="仿宋" w:hAnsi="仿宋" w:eastAsia="仿宋" w:cs="Times New Roman"/>
          <w:b/>
          <w:bCs/>
          <w:color w:val="auto"/>
          <w:sz w:val="24"/>
          <w:szCs w:val="24"/>
          <w:highlight w:val="none"/>
          <w:lang w:val="en-US" w:eastAsia="zh-CN"/>
        </w:rPr>
        <w:t>目（报价填报详见第七章附件《开标一览表》</w:t>
      </w:r>
      <w:r>
        <w:rPr>
          <w:rFonts w:hint="eastAsia" w:ascii="仿宋" w:hAnsi="仿宋" w:eastAsia="仿宋" w:cs="Times New Roman"/>
          <w:b/>
          <w:bCs/>
          <w:color w:val="auto"/>
          <w:sz w:val="24"/>
          <w:szCs w:val="24"/>
          <w:lang w:val="en-US" w:eastAsia="zh-CN"/>
        </w:rPr>
        <w:t>）。报价须满足以下要求，否则作为无效响应处理：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Times New Roman"/>
          <w:b/>
          <w:bCs/>
          <w:color w:val="auto"/>
          <w:sz w:val="24"/>
          <w:szCs w:val="24"/>
          <w:lang w:val="en-US" w:eastAsia="zh-CN"/>
        </w:rPr>
      </w:pPr>
      <w:r>
        <w:rPr>
          <w:rFonts w:hint="eastAsia" w:ascii="仿宋" w:hAnsi="仿宋" w:eastAsia="仿宋" w:cs="Times New Roman"/>
          <w:b/>
          <w:bCs/>
          <w:color w:val="auto"/>
          <w:sz w:val="24"/>
          <w:szCs w:val="24"/>
          <w:lang w:val="en-US" w:eastAsia="zh-CN"/>
        </w:rPr>
        <w:t>（1）必须对各包列明的服务项目进行报价，不得缺项、漏项。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cs="Times New Roman"/>
          <w:b/>
          <w:bCs/>
          <w:color w:val="auto"/>
          <w:sz w:val="24"/>
          <w:szCs w:val="24"/>
          <w:highlight w:val="none"/>
          <w:lang w:val="en-US" w:eastAsia="zh-CN"/>
        </w:rPr>
      </w:pPr>
      <w:r>
        <w:rPr>
          <w:rFonts w:hint="eastAsia" w:ascii="仿宋" w:hAnsi="仿宋" w:eastAsia="仿宋" w:cs="Times New Roman"/>
          <w:b/>
          <w:bCs/>
          <w:color w:val="auto"/>
          <w:sz w:val="24"/>
          <w:szCs w:val="24"/>
          <w:highlight w:val="none"/>
          <w:lang w:val="en-US" w:eastAsia="zh-CN"/>
        </w:rPr>
        <w:t>（2）报价不得超过各项最高限价。报优惠率的不得超过100％，报固定价的不得超过规定的最高限价。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Times New Roman"/>
          <w:b/>
          <w:bCs/>
          <w:color w:val="auto"/>
          <w:sz w:val="24"/>
          <w:szCs w:val="24"/>
          <w:highlight w:val="none"/>
          <w:lang w:val="en-US" w:eastAsia="zh-CN"/>
        </w:rPr>
      </w:pPr>
      <w:r>
        <w:rPr>
          <w:rFonts w:hint="eastAsia" w:ascii="仿宋" w:hAnsi="仿宋" w:eastAsia="仿宋" w:cs="Times New Roman"/>
          <w:b/>
          <w:bCs/>
          <w:color w:val="auto"/>
          <w:sz w:val="24"/>
          <w:szCs w:val="24"/>
          <w:highlight w:val="none"/>
          <w:lang w:val="en-US" w:eastAsia="zh-CN"/>
        </w:rPr>
        <w:t>（3）不得采取区间报价，各项报价应是一个固定数值。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4.请供应商综合考虑服务的成本、效益等因素，结合以下情况，慎重填写本次报价内容：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b w:val="0"/>
          <w:bCs w:val="0"/>
          <w:color w:val="auto"/>
          <w:sz w:val="24"/>
          <w:szCs w:val="24"/>
          <w:lang w:val="en-US" w:eastAsia="zh-CN"/>
        </w:rPr>
      </w:pPr>
      <w:r>
        <w:rPr>
          <w:rFonts w:hint="eastAsia" w:ascii="仿宋" w:hAnsi="仿宋" w:eastAsia="仿宋" w:cs="Times New Roman"/>
          <w:b w:val="0"/>
          <w:bCs w:val="0"/>
          <w:color w:val="auto"/>
          <w:sz w:val="24"/>
          <w:szCs w:val="24"/>
          <w:lang w:val="en-US" w:eastAsia="zh-CN"/>
        </w:rPr>
        <w:t>A.本次征集活动采用“价格优先法”进行评审，供应商的报价多少决定能否成为入围供应商。（价格优先法：指对满足采购需求且响应报价不超过最高限制单价的货物、服务，按照响应报价从低到高排序，根据征集文件规定的淘汰率或者入围供应商数量上限，确定入围供应商的评审方法。详见本文件第五章 评标方法、程序与标准）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b w:val="0"/>
          <w:bCs w:val="0"/>
          <w:color w:val="auto"/>
          <w:sz w:val="24"/>
          <w:szCs w:val="24"/>
          <w:lang w:val="en-US" w:eastAsia="zh-CN"/>
        </w:rPr>
      </w:pPr>
      <w:r>
        <w:rPr>
          <w:rFonts w:hint="eastAsia" w:ascii="仿宋" w:hAnsi="仿宋" w:eastAsia="仿宋" w:cs="Times New Roman"/>
          <w:b w:val="0"/>
          <w:bCs w:val="0"/>
          <w:color w:val="auto"/>
          <w:sz w:val="24"/>
          <w:szCs w:val="24"/>
          <w:lang w:val="en-US" w:eastAsia="zh-CN"/>
        </w:rPr>
        <w:t>B.本次征集活动中入围供应商的报价（即协议价格），是后续采购人或服务对象确定第二阶段具体项目成交供应商的最高限价。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Times New Roman"/>
          <w:b w:val="0"/>
          <w:bCs w:val="0"/>
          <w:color w:val="auto"/>
          <w:sz w:val="24"/>
          <w:szCs w:val="24"/>
          <w:lang w:val="en-US" w:eastAsia="zh-CN"/>
        </w:rPr>
      </w:pPr>
      <w:r>
        <w:rPr>
          <w:rFonts w:hint="eastAsia" w:ascii="仿宋" w:hAnsi="仿宋" w:eastAsia="仿宋" w:cs="Times New Roman"/>
          <w:b w:val="0"/>
          <w:bCs w:val="0"/>
          <w:color w:val="auto"/>
          <w:sz w:val="24"/>
          <w:szCs w:val="24"/>
          <w:lang w:val="en-US" w:eastAsia="zh-CN"/>
        </w:rPr>
        <w:t>C.为防止报价趋同导致大量供应商进入淘汰名次（如：项目共计100家投标人参与投标，若70家报价为80％，30家报价为90％，则报价为90％的30家全部淘汰；若70家报价为80％，1家报价为89.99％，29家报价为90％，则报价为90％的29家全部淘汰），请供应商报价至小数点后</w:t>
      </w:r>
      <w:r>
        <w:rPr>
          <w:rFonts w:hint="eastAsia" w:ascii="仿宋_GB2312" w:hAnsi="仿宋_GB2312" w:eastAsia="仿宋_GB2312" w:cs="仿宋_GB2312"/>
          <w:color w:val="000000"/>
          <w:kern w:val="0"/>
          <w:sz w:val="22"/>
          <w:szCs w:val="22"/>
          <w:highlight w:val="none"/>
          <w:lang w:val="en-US" w:eastAsia="zh-CN"/>
        </w:rPr>
        <w:t>两</w:t>
      </w:r>
      <w:r>
        <w:rPr>
          <w:rFonts w:hint="eastAsia" w:ascii="仿宋" w:hAnsi="仿宋" w:eastAsia="仿宋" w:cs="Times New Roman"/>
          <w:b w:val="0"/>
          <w:bCs w:val="0"/>
          <w:color w:val="auto"/>
          <w:sz w:val="24"/>
          <w:szCs w:val="24"/>
          <w:lang w:val="en-US" w:eastAsia="zh-CN"/>
        </w:rPr>
        <w:t>位数或以上。如80.257％或95.3257％等。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★5.</w:t>
      </w:r>
      <w:r>
        <w:rPr>
          <w:rFonts w:hint="eastAsia" w:ascii="仿宋" w:hAnsi="仿宋" w:eastAsia="仿宋" w:cs="Times New Roman"/>
          <w:b/>
          <w:bCs/>
          <w:color w:val="auto"/>
          <w:sz w:val="24"/>
          <w:szCs w:val="24"/>
          <w:lang w:val="en-US" w:eastAsia="zh-CN"/>
        </w:rPr>
        <w:t>各供应商提交响应文件时，应提供本所对市场通用的，且现行有效的服务收费项目、收费标准和收费方式，并加盖公章，接受征集人和采购人监督。（提供复印件并加盖公章）</w:t>
      </w:r>
    </w:p>
    <w:p>
      <w:pPr>
        <w:pStyle w:val="4"/>
        <w:numPr>
          <w:ilvl w:val="0"/>
          <w:numId w:val="2"/>
        </w:numPr>
        <w:spacing w:line="360" w:lineRule="auto"/>
        <w:ind w:left="826" w:leftChars="0" w:hanging="616" w:firstLineChars="0"/>
        <w:jc w:val="left"/>
        <w:rPr>
          <w:rFonts w:hint="eastAsia" w:ascii="仿宋" w:hAnsi="仿宋" w:eastAsia="仿宋"/>
          <w:bCs w:val="0"/>
          <w:sz w:val="28"/>
          <w:szCs w:val="28"/>
          <w:highlight w:val="none"/>
          <w:lang w:val="zh-CN" w:eastAsia="zh-CN"/>
        </w:rPr>
      </w:pPr>
      <w:bookmarkStart w:id="22" w:name="_Toc1111"/>
      <w:bookmarkStart w:id="23" w:name="_Toc15159"/>
      <w:r>
        <w:rPr>
          <w:rFonts w:hint="eastAsia" w:ascii="仿宋" w:hAnsi="仿宋" w:eastAsia="仿宋" w:cs="Times New Roman"/>
          <w:bCs w:val="0"/>
          <w:sz w:val="28"/>
          <w:szCs w:val="28"/>
          <w:highlight w:val="none"/>
          <w:lang w:val="zh-CN" w:eastAsia="zh-CN"/>
        </w:rPr>
        <w:t>其他要求</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1.供应商中标后需按照本章附件一的要求入驻鄂州市政府采购框架协议电子平台。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2.供应商需提供拟投入团队人员的相关资料，内容包括并不限于人员数量、资格证明、执业年限、经历等内容。（提供文字说明以及相关证明资料复印件）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color w:val="auto"/>
          <w:sz w:val="24"/>
          <w:szCs w:val="24"/>
          <w:lang w:val="en-US" w:eastAsia="zh-CN"/>
        </w:rPr>
      </w:pPr>
      <w:r>
        <w:rPr>
          <w:rFonts w:hint="eastAsia" w:ascii="仿宋" w:hAnsi="仿宋" w:eastAsia="仿宋" w:cs="Times New Roman"/>
          <w:color w:val="auto"/>
          <w:sz w:val="24"/>
          <w:szCs w:val="24"/>
          <w:lang w:val="en-US" w:eastAsia="zh-CN"/>
        </w:rPr>
        <w:t>3.严格依据征集文件要求和响应文件的承诺，向各级单位提供服务。不实行任何形式的不合理限制，提出任何附加条款。全面履行投标承诺，圆满完成各级单位的相关服务工作，确保质量，提供快捷、方便、满意的服务。</w:t>
      </w:r>
    </w:p>
    <w:p>
      <w:pPr>
        <w:rPr>
          <w:rFonts w:hint="eastAsia"/>
          <w:lang w:val="en-US" w:eastAsia="zh-CN"/>
        </w:rPr>
      </w:pPr>
      <w:r>
        <w:rPr>
          <w:rFonts w:hint="eastAsia"/>
          <w:lang w:val="en-US" w:eastAsia="zh-CN"/>
        </w:rPr>
        <w:br w:type="page"/>
      </w:r>
    </w:p>
    <w:p>
      <w:pPr>
        <w:numPr>
          <w:ilvl w:val="0"/>
          <w:numId w:val="0"/>
        </w:num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第三章  确定入围及成交供应商</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一、确定第一阶段入围供应商的评审方法</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确定第一阶段入围供应商的评审方法为价格优先法。价格优先法是指对满足采购需求且响应报价不超过最高限制单价的产品，按照响应报价从低到高排序，根据征集文件规定的淘汰率或者入围供应商数量上限，确定入围供应商的评审方法。</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2、入围供应商的淘汰比例：20%，且至少淘汰一家供应商（提交响应文件和符合资格条件、实质性要求的供应商少于2家时，采购活动终止）。</w:t>
      </w:r>
    </w:p>
    <w:p>
      <w:pPr>
        <w:numPr>
          <w:ilvl w:val="0"/>
          <w:numId w:val="0"/>
        </w:numPr>
        <w:spacing w:line="440" w:lineRule="exact"/>
        <w:ind w:firstLine="480" w:firstLineChars="200"/>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r>
        <w:rPr>
          <w:rFonts w:hint="default" w:ascii="仿宋" w:hAnsi="仿宋" w:eastAsia="仿宋" w:cs="仿宋"/>
          <w:bCs/>
          <w:color w:val="auto"/>
          <w:sz w:val="24"/>
          <w:szCs w:val="24"/>
          <w:lang w:val="en-US" w:eastAsia="zh-CN"/>
        </w:rPr>
        <w:t>若计算的淘汰数非整数，则按照向上取整原则进行处理。即，淘汰数量=向上取整[供应商数量×20%]（示例：如有11家供应商投标</w:t>
      </w:r>
      <w:r>
        <w:rPr>
          <w:rFonts w:hint="eastAsia" w:ascii="仿宋" w:hAnsi="仿宋" w:eastAsia="仿宋" w:cs="仿宋"/>
          <w:bCs/>
          <w:color w:val="auto"/>
          <w:sz w:val="24"/>
          <w:szCs w:val="24"/>
          <w:lang w:val="en-US" w:eastAsia="zh-CN"/>
        </w:rPr>
        <w:t>，淘汰数量=向上取整</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11</w:t>
      </w:r>
      <w:r>
        <w:rPr>
          <w:rFonts w:hint="default" w:ascii="仿宋" w:hAnsi="仿宋" w:eastAsia="仿宋" w:cs="仿宋"/>
          <w:bCs/>
          <w:color w:val="auto"/>
          <w:sz w:val="24"/>
          <w:szCs w:val="24"/>
          <w:lang w:val="en-US" w:eastAsia="zh-CN"/>
        </w:rPr>
        <w:t>×20%]=向上取整[</w:t>
      </w:r>
      <w:r>
        <w:rPr>
          <w:rFonts w:hint="eastAsia" w:ascii="仿宋" w:hAnsi="仿宋" w:eastAsia="仿宋" w:cs="仿宋"/>
          <w:bCs/>
          <w:color w:val="auto"/>
          <w:sz w:val="24"/>
          <w:szCs w:val="24"/>
          <w:lang w:val="en-US" w:eastAsia="zh-CN"/>
        </w:rPr>
        <w:t>2.2</w:t>
      </w:r>
      <w:r>
        <w:rPr>
          <w:rFonts w:hint="default" w:ascii="仿宋" w:hAnsi="仿宋" w:eastAsia="仿宋" w:cs="仿宋"/>
          <w:bCs/>
          <w:color w:val="auto"/>
          <w:sz w:val="24"/>
          <w:szCs w:val="24"/>
          <w:lang w:val="en-US" w:eastAsia="zh-CN"/>
        </w:rPr>
        <w:t>]</w:t>
      </w:r>
      <w:r>
        <w:rPr>
          <w:rFonts w:hint="eastAsia" w:ascii="仿宋" w:hAnsi="仿宋" w:eastAsia="仿宋" w:cs="仿宋"/>
          <w:bCs/>
          <w:color w:val="auto"/>
          <w:sz w:val="24"/>
          <w:szCs w:val="24"/>
          <w:lang w:val="en-US" w:eastAsia="zh-CN"/>
        </w:rPr>
        <w:t>=3</w:t>
      </w:r>
      <w:r>
        <w:rPr>
          <w:rFonts w:hint="default" w:ascii="仿宋" w:hAnsi="仿宋" w:eastAsia="仿宋" w:cs="仿宋"/>
          <w:bCs/>
          <w:color w:val="auto"/>
          <w:sz w:val="24"/>
          <w:szCs w:val="24"/>
          <w:lang w:val="en-US" w:eastAsia="zh-CN"/>
        </w:rPr>
        <w:t>,最终实际淘汰3家供应商）</w:t>
      </w:r>
      <w:r>
        <w:rPr>
          <w:rFonts w:hint="eastAsia" w:ascii="仿宋" w:hAnsi="仿宋" w:eastAsia="仿宋" w:cs="仿宋"/>
          <w:bCs/>
          <w:color w:val="auto"/>
          <w:sz w:val="24"/>
          <w:szCs w:val="24"/>
          <w:lang w:val="en-US" w:eastAsia="zh-CN"/>
        </w:rPr>
        <w:t>；</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default"/>
          <w:lang w:val="en-US" w:eastAsia="zh-CN"/>
        </w:rPr>
      </w:pPr>
      <w:r>
        <w:rPr>
          <w:rFonts w:hint="eastAsia" w:ascii="仿宋" w:hAnsi="仿宋" w:eastAsia="仿宋" w:cs="仿宋"/>
          <w:bCs/>
          <w:color w:val="auto"/>
          <w:sz w:val="24"/>
          <w:szCs w:val="24"/>
          <w:lang w:val="en-US" w:eastAsia="zh-CN"/>
        </w:rPr>
        <w:t>（2）若按淘汰率得出的淘汰名次存在并列排序，</w:t>
      </w:r>
      <w:r>
        <w:rPr>
          <w:rFonts w:hint="eastAsia" w:ascii="仿宋" w:hAnsi="仿宋" w:eastAsia="仿宋" w:cs="仿宋"/>
          <w:bCs/>
          <w:sz w:val="24"/>
          <w:szCs w:val="24"/>
          <w:lang w:val="en-US" w:eastAsia="zh-CN"/>
        </w:rPr>
        <w:t>由评审小组采取随机抽取方式确定淘汰供应商</w:t>
      </w:r>
      <w:r>
        <w:rPr>
          <w:rFonts w:hint="eastAsia" w:ascii="仿宋" w:hAnsi="仿宋" w:eastAsia="仿宋" w:cs="仿宋"/>
          <w:bCs/>
          <w:sz w:val="24"/>
          <w:szCs w:val="24"/>
        </w:rPr>
        <w:t>。</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政府采购政策功能落实</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1、小微型企业价格扣除</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（1）本项目对小型和微型企业产品给予</w:t>
      </w:r>
      <w:r>
        <w:rPr>
          <w:rFonts w:hint="eastAsia" w:ascii="仿宋" w:hAnsi="仿宋" w:eastAsia="仿宋" w:cs="仿宋"/>
          <w:bCs/>
          <w:sz w:val="24"/>
          <w:szCs w:val="24"/>
          <w:highlight w:val="none"/>
          <w:lang w:val="en-US" w:eastAsia="zh-CN"/>
        </w:rPr>
        <w:t>10%</w:t>
      </w:r>
      <w:r>
        <w:rPr>
          <w:rFonts w:hint="default" w:ascii="仿宋" w:hAnsi="仿宋" w:eastAsia="仿宋" w:cs="仿宋"/>
          <w:bCs/>
          <w:sz w:val="24"/>
          <w:szCs w:val="24"/>
          <w:lang w:val="en-US" w:eastAsia="zh-CN"/>
        </w:rPr>
        <w:t>的扣除价格，用扣除后的价格参与排序。</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（2）供应商需按照征集文件的要求提供相应的《小微企业声明函》。</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（3）企业标准请参照《关于印发中小企业划型标准规定的通知》（工信部联企业[2011]300号）文件规定自行填写。</w:t>
      </w:r>
    </w:p>
    <w:p>
      <w:pPr>
        <w:numPr>
          <w:ilvl w:val="0"/>
          <w:numId w:val="0"/>
        </w:num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2、残疾人福利单位价格扣除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（1）本项目对残疾人福利性单位视同小型、微型企业，给予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（2）残疾人福利单位需按照征集文件的要求提供《残疾人福利性单位声明函》。</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（3）残疾人福利单位标准请参照《关于促进残疾人就业政府采购政策的通知》（财库〔2017〕141号）。</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3、监狱和戒毒企业价格扣除</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（1）本项目对监狱和戒毒企业（简称监狱企业）视同小型、微型企业，给予</w:t>
      </w:r>
      <w:r>
        <w:rPr>
          <w:rFonts w:hint="eastAsia" w:ascii="仿宋" w:hAnsi="仿宋" w:eastAsia="仿宋" w:cs="仿宋"/>
          <w:bCs/>
          <w:sz w:val="24"/>
          <w:szCs w:val="24"/>
          <w:highlight w:val="none"/>
          <w:lang w:val="en-US" w:eastAsia="zh-CN"/>
        </w:rPr>
        <w:t>10%</w:t>
      </w:r>
      <w:r>
        <w:rPr>
          <w:rFonts w:ascii="仿宋" w:hAnsi="仿宋" w:eastAsia="仿宋" w:cs="仿宋"/>
          <w:bCs/>
          <w:sz w:val="24"/>
          <w:szCs w:val="24"/>
        </w:rPr>
        <w:t>的价格扣除，用扣除后的价格参与排序。</w:t>
      </w:r>
    </w:p>
    <w:p>
      <w:pPr>
        <w:spacing w:line="440" w:lineRule="exact"/>
        <w:ind w:firstLine="480" w:firstLineChars="200"/>
        <w:rPr>
          <w:rFonts w:ascii="仿宋" w:hAnsi="仿宋" w:eastAsia="仿宋" w:cs="仿宋"/>
          <w:bCs/>
          <w:sz w:val="24"/>
          <w:szCs w:val="24"/>
        </w:rPr>
      </w:pPr>
      <w:r>
        <w:rPr>
          <w:rFonts w:ascii="仿宋" w:hAnsi="仿宋" w:eastAsia="仿宋" w:cs="仿宋"/>
          <w:bCs/>
          <w:sz w:val="24"/>
          <w:szCs w:val="24"/>
        </w:rPr>
        <w:t>（2）监狱企业参加政府采购活动时，需提供由省级以上监狱管理局、戒毒管理局(含新疆生产建设兵团)出具的属于监狱企业的证明文件。供应商如不提供上述证明文件，价格将不做相应扣除。</w:t>
      </w:r>
    </w:p>
    <w:p>
      <w:pPr>
        <w:spacing w:line="440" w:lineRule="exact"/>
        <w:ind w:firstLine="480" w:firstLineChars="200"/>
        <w:rPr>
          <w:rFonts w:hint="eastAsia" w:ascii="仿宋" w:hAnsi="仿宋" w:eastAsia="仿宋" w:cs="仿宋"/>
          <w:bCs/>
          <w:sz w:val="24"/>
          <w:szCs w:val="24"/>
          <w:lang w:eastAsia="zh-CN"/>
        </w:rPr>
      </w:pPr>
      <w:r>
        <w:rPr>
          <w:rFonts w:ascii="仿宋" w:hAnsi="仿宋" w:eastAsia="仿宋" w:cs="仿宋"/>
          <w:bCs/>
          <w:sz w:val="24"/>
          <w:szCs w:val="24"/>
        </w:rPr>
        <w:t>（3）监狱企业标准请参照《关于政府采购支持监狱企业发展有关问题的通知》（财库[2014]68号）</w:t>
      </w:r>
      <w:r>
        <w:rPr>
          <w:rFonts w:hint="eastAsia" w:ascii="仿宋" w:hAnsi="仿宋" w:eastAsia="仿宋" w:cs="仿宋"/>
          <w:bCs/>
          <w:sz w:val="24"/>
          <w:szCs w:val="24"/>
          <w:lang w:eastAsia="zh-CN"/>
        </w:rPr>
        <w:t>。</w:t>
      </w:r>
    </w:p>
    <w:p>
      <w:pPr>
        <w:spacing w:line="440" w:lineRule="exact"/>
        <w:ind w:firstLine="480" w:firstLineChars="200"/>
        <w:rPr>
          <w:rFonts w:ascii="仿宋" w:hAnsi="仿宋" w:eastAsia="仿宋" w:cs="仿宋"/>
          <w:bCs/>
          <w:sz w:val="24"/>
          <w:szCs w:val="24"/>
        </w:rPr>
      </w:pPr>
      <w:r>
        <w:rPr>
          <w:rFonts w:hint="default" w:ascii="仿宋" w:hAnsi="仿宋" w:eastAsia="仿宋" w:cs="仿宋"/>
          <w:bCs/>
          <w:color w:val="auto"/>
          <w:sz w:val="24"/>
          <w:szCs w:val="24"/>
          <w:lang w:val="en-US" w:eastAsia="zh-CN"/>
        </w:rPr>
        <w:t>4、残疾人福利单位、监狱企业属于小型、微型企业的，不重复享受政策</w:t>
      </w:r>
      <w:r>
        <w:rPr>
          <w:rFonts w:ascii="仿宋" w:hAnsi="仿宋" w:eastAsia="仿宋" w:cs="仿宋"/>
          <w:bCs/>
          <w:sz w:val="24"/>
          <w:szCs w:val="24"/>
        </w:rPr>
        <w:t>。</w:t>
      </w:r>
    </w:p>
    <w:p>
      <w:pPr>
        <w:numPr>
          <w:ilvl w:val="0"/>
          <w:numId w:val="0"/>
        </w:numPr>
        <w:spacing w:line="440" w:lineRule="exact"/>
        <w:ind w:firstLine="482" w:firstLineChars="200"/>
        <w:rPr>
          <w:rFonts w:hint="default" w:ascii="仿宋" w:hAnsi="仿宋" w:eastAsia="仿宋" w:cs="仿宋"/>
          <w:b/>
          <w:bCs w:val="0"/>
          <w:sz w:val="24"/>
          <w:szCs w:val="24"/>
          <w:lang w:val="en-US" w:eastAsia="zh-CN"/>
        </w:rPr>
      </w:pPr>
      <w:r>
        <w:rPr>
          <w:rFonts w:hint="default" w:ascii="仿宋" w:hAnsi="仿宋" w:eastAsia="仿宋" w:cs="仿宋"/>
          <w:b/>
          <w:bCs w:val="0"/>
          <w:sz w:val="24"/>
          <w:szCs w:val="24"/>
          <w:lang w:val="en-US" w:eastAsia="zh-CN"/>
        </w:rPr>
        <w:t>二、确定第二阶段成交供应商的方式</w:t>
      </w:r>
    </w:p>
    <w:p>
      <w:pPr>
        <w:keepNext w:val="0"/>
        <w:keepLines w:val="0"/>
        <w:widowControl w:val="0"/>
        <w:numPr>
          <w:ilvl w:val="0"/>
          <w:numId w:val="0"/>
        </w:numPr>
        <w:suppressLineNumbers w:val="0"/>
        <w:spacing w:before="0" w:beforeAutospacing="0" w:after="0" w:afterAutospacing="0" w:line="460" w:lineRule="exact"/>
        <w:ind w:leftChars="0" w:right="0" w:rightChars="0"/>
        <w:jc w:val="both"/>
        <w:rPr>
          <w:rFonts w:hint="default" w:ascii="华文仿宋" w:hAnsi="华文仿宋" w:eastAsia="华文仿宋" w:cs="Times New Roman"/>
          <w:sz w:val="24"/>
          <w:szCs w:val="24"/>
        </w:rPr>
      </w:pPr>
      <w:r>
        <w:rPr>
          <w:rFonts w:hint="default" w:ascii="仿宋" w:hAnsi="仿宋" w:eastAsia="仿宋" w:cs="仿宋"/>
          <w:bCs/>
          <w:sz w:val="24"/>
          <w:szCs w:val="24"/>
          <w:lang w:eastAsia="zh-CN"/>
        </w:rPr>
        <w:t xml:space="preserve">    </w:t>
      </w:r>
      <w:r>
        <w:rPr>
          <w:rFonts w:hint="default" w:ascii="仿宋" w:hAnsi="仿宋" w:eastAsia="仿宋" w:cs="仿宋"/>
          <w:bCs/>
          <w:sz w:val="24"/>
          <w:szCs w:val="24"/>
          <w:lang w:val="en-US" w:eastAsia="zh-CN"/>
        </w:rPr>
        <w:t>1.</w:t>
      </w:r>
      <w:r>
        <w:rPr>
          <w:rStyle w:val="15"/>
          <w:rFonts w:hint="default" w:ascii="华文仿宋" w:hAnsi="华文仿宋" w:eastAsia="华文仿宋" w:cs="华文仿宋"/>
          <w:kern w:val="2"/>
          <w:sz w:val="24"/>
          <w:szCs w:val="24"/>
          <w:lang w:val="en-US" w:eastAsia="zh-CN" w:bidi="ar"/>
        </w:rPr>
        <w:t>确定第二阶段成交供应商的方式为直接选定和二次竞价。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24"/>
          <w:szCs w:val="24"/>
        </w:rPr>
      </w:pPr>
      <w:r>
        <w:rPr>
          <w:rStyle w:val="15"/>
          <w:rFonts w:hint="default" w:ascii="华文仿宋" w:hAnsi="华文仿宋" w:eastAsia="华文仿宋" w:cs="华文仿宋"/>
          <w:b/>
          <w:bCs/>
          <w:kern w:val="2"/>
          <w:sz w:val="24"/>
          <w:szCs w:val="24"/>
          <w:u w:val="none"/>
          <w:lang w:eastAsia="zh-CN" w:bidi="ar"/>
        </w:rPr>
        <w:t xml:space="preserve">    </w:t>
      </w:r>
      <w:r>
        <w:rPr>
          <w:rStyle w:val="15"/>
          <w:rFonts w:hint="default" w:ascii="华文仿宋" w:hAnsi="华文仿宋" w:eastAsia="华文仿宋" w:cs="华文仿宋"/>
          <w:b/>
          <w:bCs/>
          <w:kern w:val="2"/>
          <w:sz w:val="24"/>
          <w:szCs w:val="24"/>
          <w:u w:val="single"/>
          <w:lang w:val="en-US" w:eastAsia="zh-CN" w:bidi="ar"/>
        </w:rPr>
        <w:t>直接选定</w:t>
      </w:r>
      <w:r>
        <w:rPr>
          <w:rStyle w:val="15"/>
          <w:rFonts w:hint="default" w:ascii="华文仿宋" w:hAnsi="华文仿宋" w:eastAsia="华文仿宋" w:cs="华文仿宋"/>
          <w:kern w:val="2"/>
          <w:sz w:val="24"/>
          <w:szCs w:val="24"/>
          <w:lang w:val="en-US" w:eastAsia="zh-CN" w:bidi="ar"/>
        </w:rPr>
        <w:t>是确定第二阶段成交供应商的主要方式，由采购人或者服务对象依据入围产品价格、质量以及服务便利性、用户评价等因素，从第一阶段入围供应商中直接选定。第一阶段入围供应商的协议价格（有量价关系折扣的，包括量价关系折扣）是采购人确定第二阶段成交供应商的最高限价。</w:t>
      </w:r>
    </w:p>
    <w:p>
      <w:pPr>
        <w:keepNext w:val="0"/>
        <w:keepLines w:val="0"/>
        <w:widowControl w:val="0"/>
        <w:suppressLineNumbers w:val="0"/>
        <w:spacing w:before="0" w:beforeAutospacing="0" w:after="0" w:afterAutospacing="0" w:line="460" w:lineRule="exact"/>
        <w:ind w:left="0" w:leftChars="0" w:right="0"/>
        <w:jc w:val="both"/>
        <w:rPr>
          <w:rFonts w:hint="default" w:ascii="华文仿宋" w:hAnsi="华文仿宋" w:eastAsia="华文仿宋" w:cs="Times New Roman"/>
          <w:sz w:val="24"/>
          <w:szCs w:val="24"/>
        </w:rPr>
      </w:pPr>
      <w:r>
        <w:rPr>
          <w:rStyle w:val="15"/>
          <w:rFonts w:hint="default" w:ascii="华文仿宋" w:hAnsi="华文仿宋" w:eastAsia="华文仿宋" w:cs="华文仿宋"/>
          <w:b/>
          <w:bCs/>
          <w:kern w:val="2"/>
          <w:sz w:val="24"/>
          <w:szCs w:val="24"/>
          <w:u w:val="none"/>
          <w:lang w:eastAsia="zh-CN" w:bidi="ar"/>
        </w:rPr>
        <w:t xml:space="preserve">    </w:t>
      </w:r>
      <w:r>
        <w:rPr>
          <w:rStyle w:val="15"/>
          <w:rFonts w:hint="default" w:ascii="华文仿宋" w:hAnsi="华文仿宋" w:eastAsia="华文仿宋" w:cs="华文仿宋"/>
          <w:b/>
          <w:bCs/>
          <w:kern w:val="2"/>
          <w:sz w:val="24"/>
          <w:szCs w:val="24"/>
          <w:u w:val="single"/>
          <w:lang w:val="en-US" w:eastAsia="zh-CN" w:bidi="ar"/>
        </w:rPr>
        <w:t>二次竞价</w:t>
      </w:r>
      <w:r>
        <w:rPr>
          <w:rStyle w:val="15"/>
          <w:rFonts w:hint="default" w:ascii="华文仿宋" w:hAnsi="华文仿宋" w:eastAsia="华文仿宋" w:cs="华文仿宋"/>
          <w:kern w:val="2"/>
          <w:sz w:val="24"/>
          <w:szCs w:val="24"/>
          <w:lang w:val="en-US" w:eastAsia="zh-CN" w:bidi="ar"/>
        </w:rPr>
        <w:t>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pPr>
        <w:spacing w:line="440" w:lineRule="exact"/>
        <w:ind w:firstLine="480" w:firstLineChars="200"/>
        <w:rPr>
          <w:rFonts w:hint="default" w:ascii="仿宋" w:hAnsi="仿宋" w:eastAsia="仿宋" w:cs="仿宋"/>
          <w:bCs/>
          <w:sz w:val="24"/>
          <w:szCs w:val="24"/>
          <w:lang w:val="en-US" w:eastAsia="zh-CN"/>
        </w:rPr>
      </w:pPr>
      <w:r>
        <w:rPr>
          <w:rFonts w:hint="default" w:ascii="仿宋" w:hAnsi="仿宋" w:eastAsia="仿宋" w:cs="仿宋"/>
          <w:bCs/>
          <w:sz w:val="24"/>
          <w:szCs w:val="24"/>
          <w:lang w:val="en-US" w:eastAsia="zh-CN"/>
        </w:rPr>
        <w:t>2.采购人在确定成交供应商后，双方应当按照框架协议中规定的“采购合同文本”格式签订电子采购合同，不得擅自改变框架协议约定的合同实质性条款。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6A41AC"/>
    <w:multiLevelType w:val="singleLevel"/>
    <w:tmpl w:val="296A41AC"/>
    <w:lvl w:ilvl="0" w:tentative="0">
      <w:start w:val="1"/>
      <w:numFmt w:val="chineseCounting"/>
      <w:suff w:val="space"/>
      <w:lvlText w:val="第%1章"/>
      <w:lvlJc w:val="left"/>
      <w:pPr>
        <w:ind w:left="-495"/>
      </w:pPr>
      <w:rPr>
        <w:rFonts w:hint="eastAsia"/>
      </w:rPr>
    </w:lvl>
  </w:abstractNum>
  <w:abstractNum w:abstractNumId="1">
    <w:nsid w:val="336853BA"/>
    <w:multiLevelType w:val="multilevel"/>
    <w:tmpl w:val="336853BA"/>
    <w:lvl w:ilvl="0" w:tentative="0">
      <w:start w:val="1"/>
      <w:numFmt w:val="chineseCountingThousand"/>
      <w:lvlText w:val="%1、"/>
      <w:lvlJc w:val="left"/>
      <w:pPr>
        <w:ind w:left="63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1E470295"/>
    <w:rsid w:val="01CA3975"/>
    <w:rsid w:val="069CCE5E"/>
    <w:rsid w:val="0B6A5022"/>
    <w:rsid w:val="0BC131A8"/>
    <w:rsid w:val="10E4556A"/>
    <w:rsid w:val="140C100A"/>
    <w:rsid w:val="16FC436D"/>
    <w:rsid w:val="1E470295"/>
    <w:rsid w:val="21C97D3E"/>
    <w:rsid w:val="27DA77FA"/>
    <w:rsid w:val="2B93387B"/>
    <w:rsid w:val="2F2A2B97"/>
    <w:rsid w:val="31FD48D3"/>
    <w:rsid w:val="36DDA3BF"/>
    <w:rsid w:val="3F7D0B80"/>
    <w:rsid w:val="47E63BB0"/>
    <w:rsid w:val="530F7987"/>
    <w:rsid w:val="586603B8"/>
    <w:rsid w:val="5E137134"/>
    <w:rsid w:val="608028AB"/>
    <w:rsid w:val="64F3A698"/>
    <w:rsid w:val="6A735F3A"/>
    <w:rsid w:val="6B536650"/>
    <w:rsid w:val="722E3BCA"/>
    <w:rsid w:val="74667CB3"/>
    <w:rsid w:val="74FE5F2F"/>
    <w:rsid w:val="77FF30C7"/>
    <w:rsid w:val="7CDE337B"/>
    <w:rsid w:val="9BAF86E4"/>
    <w:rsid w:val="BFBF8638"/>
    <w:rsid w:val="DE59E276"/>
    <w:rsid w:val="EB73CD82"/>
    <w:rsid w:val="EDF9FD99"/>
    <w:rsid w:val="FDB7007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heme="minorAscii" w:hAnsiTheme="minorAscii"/>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semiHidden/>
    <w:qForma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customStyle="1" w:styleId="2">
    <w:name w:val="01 正文-首行缩进2字符"/>
    <w:basedOn w:val="1"/>
    <w:qFormat/>
    <w:uiPriority w:val="0"/>
    <w:pPr>
      <w:spacing w:beforeLines="50" w:afterLines="50" w:line="360" w:lineRule="auto"/>
      <w:ind w:firstLine="200" w:firstLineChars="200"/>
    </w:pPr>
    <w:rPr>
      <w:rFonts w:ascii="Arial" w:hAnsi="Arial" w:eastAsia="宋体"/>
      <w:color w:val="000000"/>
      <w:sz w:val="24"/>
    </w:rPr>
  </w:style>
  <w:style w:type="paragraph" w:styleId="5">
    <w:name w:val="Body Text"/>
    <w:basedOn w:val="1"/>
    <w:unhideWhenUsed/>
    <w:qFormat/>
    <w:uiPriority w:val="99"/>
    <w:pPr>
      <w:spacing w:after="120"/>
    </w:pPr>
  </w:style>
  <w:style w:type="paragraph" w:styleId="6">
    <w:name w:val="Body Text Indent"/>
    <w:basedOn w:val="1"/>
    <w:next w:val="7"/>
    <w:unhideWhenUsed/>
    <w:qFormat/>
    <w:uiPriority w:val="99"/>
    <w:pPr>
      <w:spacing w:after="120"/>
      <w:ind w:left="420" w:leftChars="200"/>
    </w:pPr>
  </w:style>
  <w:style w:type="paragraph" w:styleId="7">
    <w:name w:val="Body Text First Indent 2"/>
    <w:basedOn w:val="6"/>
    <w:unhideWhenUsed/>
    <w:qFormat/>
    <w:uiPriority w:val="99"/>
    <w:pPr>
      <w:ind w:firstLine="420" w:firstLineChars="200"/>
    </w:pPr>
  </w:style>
  <w:style w:type="paragraph" w:styleId="8">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Body text|2"/>
    <w:basedOn w:val="1"/>
    <w:qFormat/>
    <w:uiPriority w:val="0"/>
    <w:pPr>
      <w:spacing w:line="391" w:lineRule="auto"/>
      <w:ind w:firstLine="400"/>
    </w:pPr>
    <w:rPr>
      <w:rFonts w:ascii="宋体" w:hAnsi="宋体" w:eastAsia="宋体" w:cs="宋体"/>
      <w:sz w:val="30"/>
      <w:szCs w:val="30"/>
      <w:lang w:val="zh-TW" w:eastAsia="zh-TW" w:bidi="zh-TW"/>
    </w:rPr>
  </w:style>
  <w:style w:type="character" w:customStyle="1" w:styleId="13">
    <w:name w:val="fontstyle21"/>
    <w:basedOn w:val="11"/>
    <w:qFormat/>
    <w:uiPriority w:val="0"/>
    <w:rPr>
      <w:rFonts w:hint="eastAsia" w:ascii="华文仿宋" w:hAnsi="华文仿宋" w:eastAsia="华文仿宋"/>
      <w:color w:val="000000"/>
      <w:sz w:val="28"/>
      <w:szCs w:val="28"/>
    </w:rPr>
  </w:style>
  <w:style w:type="character" w:customStyle="1" w:styleId="14">
    <w:name w:val="10"/>
    <w:basedOn w:val="11"/>
    <w:qFormat/>
    <w:uiPriority w:val="0"/>
    <w:rPr>
      <w:rFonts w:hint="default" w:ascii="Calibri" w:hAnsi="Calibri" w:cs="Calibri"/>
    </w:rPr>
  </w:style>
  <w:style w:type="character" w:customStyle="1" w:styleId="15">
    <w:name w:val="15"/>
    <w:basedOn w:val="11"/>
    <w:qFormat/>
    <w:uiPriority w:val="0"/>
    <w:rPr>
      <w:rFonts w:hint="default" w:ascii="华文仿宋" w:hAnsi="华文仿宋" w:eastAsia="华文仿宋" w:cs="华文仿宋"/>
      <w:color w:val="000000"/>
      <w:sz w:val="28"/>
      <w:szCs w:val="28"/>
    </w:rPr>
  </w:style>
  <w:style w:type="character" w:customStyle="1" w:styleId="16">
    <w:name w:val="17"/>
    <w:basedOn w:val="11"/>
    <w:qFormat/>
    <w:uiPriority w:val="0"/>
    <w:rPr>
      <w:rFonts w:hint="default" w:ascii="华文仿宋" w:hAnsi="华文仿宋" w:eastAsia="华文仿宋" w:cs="Times New Roman"/>
    </w:rPr>
  </w:style>
  <w:style w:type="character" w:customStyle="1" w:styleId="17">
    <w:name w:val="16"/>
    <w:basedOn w:val="11"/>
    <w:qFormat/>
    <w:uiPriority w:val="0"/>
    <w:rPr>
      <w:rFonts w:hint="default" w:ascii="华文仿宋" w:hAnsi="华文仿宋" w:eastAsia="华文仿宋" w:cs="华文仿宋"/>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4011</Words>
  <Characters>4213</Characters>
  <Lines>1</Lines>
  <Paragraphs>1</Paragraphs>
  <TotalTime>0</TotalTime>
  <ScaleCrop>false</ScaleCrop>
  <LinksUpToDate>false</LinksUpToDate>
  <CharactersWithSpaces>4231</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2023-09-27T18:00:00Z</dcterms:created>
  <dc:creator>NS</dc:creator>
  <cp:lastModifiedBy>胡靖</cp:lastModifiedBy>
  <dcterms:modified xsi:type="dcterms:W3CDTF">2023-12-12T08:59:37Z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E44A14F925AF41169875A3BABEF21A58</vt:lpwstr>
  </property>
</Properties>
</file>