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1982"/>
        </w:tabs>
        <w:adjustRightInd w:val="0"/>
        <w:snapToGrid w:val="0"/>
        <w:spacing w:line="560" w:lineRule="exact"/>
        <w:ind w:firstLine="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法律服务封闭式框架协议采购需求</w:t>
      </w:r>
    </w:p>
    <w:p>
      <w:pPr>
        <w:pStyle w:val="3"/>
        <w:numPr>
          <w:ilvl w:val="0"/>
          <w:numId w:val="1"/>
        </w:numPr>
        <w:spacing w:before="240" w:after="120"/>
        <w:ind w:left="-495" w:leftChars="0" w:firstLine="3855" w:firstLineChars="0"/>
        <w:jc w:val="both"/>
        <w:rPr>
          <w:rFonts w:hint="eastAsia" w:ascii="仿宋" w:hAnsi="仿宋" w:eastAsia="仿宋"/>
          <w:sz w:val="32"/>
          <w:szCs w:val="32"/>
          <w:lang w:val="en-US" w:eastAsia="zh-CN"/>
        </w:rPr>
      </w:pPr>
      <w:r>
        <w:rPr>
          <w:rFonts w:hint="eastAsia" w:ascii="仿宋" w:hAnsi="仿宋" w:eastAsia="仿宋"/>
          <w:sz w:val="32"/>
          <w:szCs w:val="32"/>
          <w:lang w:val="en-US" w:eastAsia="zh-CN"/>
        </w:rPr>
        <w:t>资格条件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w:t>
      </w:r>
      <w:r>
        <w:rPr>
          <w:rFonts w:hint="eastAsia" w:ascii="仿宋" w:hAnsi="仿宋" w:eastAsia="仿宋"/>
          <w:bCs/>
          <w:sz w:val="24"/>
          <w:szCs w:val="24"/>
          <w:lang w:val="en-US" w:eastAsia="zh-CN"/>
        </w:rPr>
        <w:t>供应商</w:t>
      </w:r>
      <w:r>
        <w:rPr>
          <w:rFonts w:hint="eastAsia" w:ascii="仿宋" w:hAnsi="仿宋" w:eastAsia="仿宋"/>
          <w:bCs/>
          <w:sz w:val="24"/>
          <w:szCs w:val="24"/>
        </w:rPr>
        <w:t>，不得参加本项目同一合同项下的政府采购活动。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highlight w:val="none"/>
        </w:rPr>
      </w:pPr>
      <w:r>
        <w:rPr>
          <w:rFonts w:hint="eastAsia" w:ascii="仿宋" w:hAnsi="仿宋" w:eastAsia="仿宋"/>
          <w:bCs/>
          <w:sz w:val="24"/>
          <w:szCs w:val="24"/>
          <w:highlight w:val="none"/>
        </w:rPr>
        <w:t>5.落实政府采购政策需满足的资格要求：</w:t>
      </w:r>
      <w:r>
        <w:rPr>
          <w:rFonts w:hint="eastAsia" w:ascii="仿宋" w:hAnsi="仿宋" w:eastAsia="仿宋"/>
          <w:bCs/>
          <w:sz w:val="24"/>
          <w:szCs w:val="24"/>
          <w:highlight w:val="none"/>
          <w:lang w:val="en-US" w:eastAsia="zh-CN"/>
        </w:rPr>
        <w:t>无</w:t>
      </w:r>
    </w:p>
    <w:p>
      <w:pPr>
        <w:widowControl/>
        <w:snapToGrid w:val="0"/>
        <w:spacing w:line="520" w:lineRule="exact"/>
        <w:ind w:firstLine="480" w:firstLineChars="200"/>
        <w:jc w:val="left"/>
        <w:rPr>
          <w:rFonts w:ascii="仿宋" w:hAnsi="仿宋" w:eastAsia="仿宋"/>
          <w:bCs/>
          <w:sz w:val="24"/>
          <w:szCs w:val="24"/>
          <w:highlight w:val="none"/>
        </w:rPr>
      </w:pPr>
      <w:r>
        <w:rPr>
          <w:rFonts w:hint="eastAsia" w:ascii="仿宋" w:hAnsi="仿宋" w:eastAsia="仿宋"/>
          <w:bCs/>
          <w:sz w:val="24"/>
          <w:szCs w:val="24"/>
          <w:highlight w:val="none"/>
        </w:rPr>
        <w:t>6.本项目的特定资格要求：</w:t>
      </w:r>
    </w:p>
    <w:p>
      <w:pPr>
        <w:widowControl/>
        <w:snapToGrid w:val="0"/>
        <w:spacing w:line="520" w:lineRule="exact"/>
        <w:ind w:firstLine="480" w:firstLineChars="200"/>
        <w:jc w:val="left"/>
        <w:rPr>
          <w:rFonts w:hint="eastAsia" w:ascii="仿宋" w:hAnsi="仿宋" w:eastAsia="仿宋"/>
          <w:b w:val="0"/>
          <w:bCs/>
          <w:color w:val="auto"/>
          <w:sz w:val="24"/>
          <w:szCs w:val="24"/>
          <w:highlight w:val="none"/>
        </w:rPr>
      </w:pPr>
      <w:r>
        <w:rPr>
          <w:rFonts w:hint="eastAsia" w:ascii="仿宋" w:hAnsi="仿宋" w:eastAsia="仿宋"/>
          <w:b w:val="0"/>
          <w:bCs/>
          <w:color w:val="auto"/>
          <w:sz w:val="24"/>
          <w:szCs w:val="24"/>
          <w:highlight w:val="none"/>
          <w:lang w:eastAsia="zh-CN"/>
        </w:rPr>
        <w:t>（</w:t>
      </w:r>
      <w:r>
        <w:rPr>
          <w:rFonts w:hint="eastAsia" w:ascii="仿宋" w:hAnsi="仿宋" w:eastAsia="仿宋"/>
          <w:b w:val="0"/>
          <w:bCs/>
          <w:color w:val="auto"/>
          <w:sz w:val="24"/>
          <w:szCs w:val="24"/>
          <w:highlight w:val="none"/>
          <w:lang w:val="en-US" w:eastAsia="zh-CN"/>
        </w:rPr>
        <w:t>1</w:t>
      </w:r>
      <w:r>
        <w:rPr>
          <w:rFonts w:hint="eastAsia" w:ascii="仿宋" w:hAnsi="仿宋" w:eastAsia="仿宋"/>
          <w:b w:val="0"/>
          <w:bCs/>
          <w:color w:val="auto"/>
          <w:sz w:val="24"/>
          <w:szCs w:val="24"/>
          <w:highlight w:val="none"/>
          <w:lang w:eastAsia="zh-CN"/>
        </w:rPr>
        <w:t>）</w:t>
      </w:r>
      <w:r>
        <w:rPr>
          <w:rFonts w:hint="eastAsia" w:ascii="仿宋" w:hAnsi="仿宋" w:eastAsia="仿宋"/>
          <w:b w:val="0"/>
          <w:bCs/>
          <w:color w:val="auto"/>
          <w:sz w:val="24"/>
          <w:szCs w:val="24"/>
          <w:highlight w:val="none"/>
        </w:rPr>
        <w:t>供应商应具备司法行政部门颁发的律师事务所执业许可证书。</w:t>
      </w:r>
    </w:p>
    <w:p>
      <w:pPr>
        <w:widowControl/>
        <w:snapToGrid w:val="0"/>
        <w:spacing w:line="520" w:lineRule="exact"/>
        <w:ind w:firstLine="480" w:firstLineChars="200"/>
        <w:jc w:val="left"/>
        <w:rPr>
          <w:rFonts w:hint="eastAsia" w:ascii="仿宋" w:hAnsi="仿宋" w:eastAsia="仿宋"/>
          <w:b w:val="0"/>
          <w:bCs/>
          <w:color w:val="auto"/>
          <w:sz w:val="24"/>
          <w:szCs w:val="24"/>
          <w:highlight w:val="none"/>
        </w:rPr>
      </w:pPr>
      <w:r>
        <w:rPr>
          <w:rFonts w:hint="eastAsia" w:ascii="仿宋" w:hAnsi="仿宋" w:eastAsia="仿宋"/>
          <w:b w:val="0"/>
          <w:bCs/>
          <w:color w:val="auto"/>
          <w:sz w:val="24"/>
          <w:szCs w:val="24"/>
          <w:highlight w:val="none"/>
          <w:lang w:eastAsia="zh-CN"/>
        </w:rPr>
        <w:t>（</w:t>
      </w:r>
      <w:r>
        <w:rPr>
          <w:rFonts w:hint="eastAsia" w:ascii="仿宋" w:hAnsi="仿宋" w:eastAsia="仿宋"/>
          <w:b w:val="0"/>
          <w:bCs/>
          <w:color w:val="auto"/>
          <w:sz w:val="24"/>
          <w:szCs w:val="24"/>
          <w:highlight w:val="none"/>
          <w:lang w:val="en-US" w:eastAsia="zh-CN"/>
        </w:rPr>
        <w:t>2</w:t>
      </w:r>
      <w:r>
        <w:rPr>
          <w:rFonts w:hint="eastAsia" w:ascii="仿宋" w:hAnsi="仿宋" w:eastAsia="仿宋"/>
          <w:b w:val="0"/>
          <w:bCs/>
          <w:color w:val="auto"/>
          <w:sz w:val="24"/>
          <w:szCs w:val="24"/>
          <w:highlight w:val="none"/>
          <w:lang w:eastAsia="zh-CN"/>
        </w:rPr>
        <w:t>）</w:t>
      </w:r>
      <w:r>
        <w:rPr>
          <w:rFonts w:hint="eastAsia" w:ascii="仿宋" w:hAnsi="仿宋" w:eastAsia="仿宋"/>
          <w:b w:val="0"/>
          <w:bCs/>
          <w:color w:val="auto"/>
          <w:sz w:val="24"/>
          <w:szCs w:val="24"/>
          <w:highlight w:val="none"/>
          <w:lang w:val="en-US" w:eastAsia="zh-CN"/>
        </w:rPr>
        <w:t>如分公司、分支机构或分所参与投标，须提供总公司、总机构或总所出具的唯一授权书。</w:t>
      </w:r>
    </w:p>
    <w:p>
      <w:pPr>
        <w:rPr>
          <w:rFonts w:hint="eastAsia" w:ascii="仿宋" w:hAnsi="仿宋" w:eastAsia="仿宋"/>
          <w:b w:val="0"/>
          <w:bCs/>
          <w:color w:val="auto"/>
          <w:sz w:val="24"/>
          <w:szCs w:val="24"/>
          <w:highlight w:val="yellow"/>
        </w:rPr>
      </w:pPr>
      <w:r>
        <w:rPr>
          <w:rFonts w:hint="eastAsia" w:ascii="仿宋" w:hAnsi="仿宋" w:eastAsia="仿宋"/>
          <w:b w:val="0"/>
          <w:bCs/>
          <w:color w:val="auto"/>
          <w:sz w:val="24"/>
          <w:szCs w:val="24"/>
          <w:highlight w:val="yellow"/>
        </w:rPr>
        <w:br w:type="page"/>
      </w:r>
    </w:p>
    <w:p>
      <w:pPr>
        <w:pStyle w:val="3"/>
        <w:numPr>
          <w:ilvl w:val="0"/>
          <w:numId w:val="1"/>
        </w:numPr>
        <w:spacing w:before="240" w:after="120"/>
        <w:ind w:left="-915" w:leftChars="0" w:firstLine="3855" w:firstLineChars="0"/>
        <w:jc w:val="both"/>
        <w:rPr>
          <w:rFonts w:hint="eastAsia" w:ascii="仿宋" w:hAnsi="仿宋" w:eastAsia="仿宋"/>
          <w:sz w:val="32"/>
          <w:szCs w:val="32"/>
          <w:lang w:val="en-US" w:eastAsia="zh-CN"/>
        </w:rPr>
      </w:pPr>
      <w:r>
        <w:rPr>
          <w:rFonts w:hint="eastAsia" w:ascii="仿宋" w:hAnsi="仿宋" w:eastAsia="仿宋"/>
          <w:sz w:val="32"/>
          <w:szCs w:val="32"/>
          <w:lang w:val="en-US" w:eastAsia="zh-CN"/>
        </w:rPr>
        <w:t>项目技术要求</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供应商响应的服务标准不得低于本章采购需求。供应商须在响应文件中参照《项目服务要求响应、偏离说明表》和《项目服务要求“★”号条款响应、偏离说明表》格式，对采购需求条款进行</w:t>
      </w:r>
      <w:r>
        <w:rPr>
          <w:rFonts w:hint="eastAsia" w:ascii="仿宋" w:hAnsi="仿宋" w:eastAsia="仿宋"/>
          <w:b/>
          <w:bCs/>
          <w:sz w:val="24"/>
          <w:szCs w:val="24"/>
          <w:u w:val="single"/>
          <w:lang w:val="en-US" w:eastAsia="zh-CN"/>
        </w:rPr>
        <w:t>全面响应</w:t>
      </w:r>
      <w:r>
        <w:rPr>
          <w:rFonts w:hint="eastAsia" w:ascii="仿宋" w:hAnsi="仿宋" w:eastAsia="仿宋"/>
          <w:sz w:val="24"/>
          <w:szCs w:val="24"/>
          <w:lang w:val="en-US" w:eastAsia="zh-CN"/>
        </w:rPr>
        <w:t>。</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“★”号条款响应内容须按要求提供相应证明文件，否则按照无效响应处理。</w:t>
      </w:r>
    </w:p>
    <w:p>
      <w:pPr>
        <w:pStyle w:val="4"/>
        <w:numPr>
          <w:ilvl w:val="0"/>
          <w:numId w:val="2"/>
        </w:numPr>
        <w:spacing w:before="0" w:after="0" w:line="360" w:lineRule="auto"/>
        <w:ind w:left="616" w:hanging="616"/>
        <w:jc w:val="left"/>
        <w:rPr>
          <w:rFonts w:ascii="仿宋" w:hAnsi="仿宋" w:eastAsia="仿宋" w:cs="Times New Roman"/>
          <w:bCs w:val="0"/>
          <w:sz w:val="28"/>
          <w:szCs w:val="28"/>
          <w:highlight w:val="none"/>
          <w:lang w:val="zh-CN"/>
        </w:rPr>
      </w:pPr>
      <w:bookmarkStart w:id="0" w:name="_Toc14405"/>
      <w:bookmarkStart w:id="1" w:name="_Toc48134912"/>
      <w:bookmarkStart w:id="2" w:name="_Toc28731"/>
      <w:bookmarkStart w:id="3" w:name="_Toc339378679"/>
      <w:bookmarkStart w:id="4" w:name="_Toc338065593"/>
      <w:r>
        <w:rPr>
          <w:rFonts w:hint="eastAsia" w:ascii="仿宋" w:hAnsi="仿宋" w:eastAsia="仿宋" w:cs="Times New Roman"/>
          <w:bCs w:val="0"/>
          <w:sz w:val="28"/>
          <w:szCs w:val="28"/>
          <w:highlight w:val="none"/>
          <w:lang w:val="zh-CN"/>
        </w:rPr>
        <w:t>项目概况</w:t>
      </w:r>
      <w:bookmarkEnd w:id="0"/>
      <w:bookmarkEnd w:id="1"/>
      <w:bookmarkEnd w:id="2"/>
    </w:p>
    <w:bookmarkEnd w:id="3"/>
    <w:bookmarkEnd w:id="4"/>
    <w:p>
      <w:pPr>
        <w:spacing w:line="360" w:lineRule="auto"/>
        <w:ind w:firstLine="480" w:firstLineChars="200"/>
        <w:rPr>
          <w:rFonts w:hint="default" w:ascii="仿宋" w:hAnsi="仿宋" w:eastAsia="仿宋"/>
          <w:sz w:val="24"/>
          <w:szCs w:val="24"/>
          <w:lang w:val="en-US" w:eastAsia="zh-CN"/>
        </w:rPr>
      </w:pPr>
      <w:bookmarkStart w:id="5" w:name="_Toc338065594"/>
      <w:bookmarkStart w:id="6" w:name="_Toc339378680"/>
      <w:r>
        <w:rPr>
          <w:rFonts w:hint="eastAsia" w:ascii="仿宋" w:hAnsi="仿宋" w:eastAsia="仿宋"/>
          <w:sz w:val="24"/>
          <w:szCs w:val="24"/>
          <w:lang w:val="en-US" w:eastAsia="zh-CN"/>
        </w:rPr>
        <w:t>1.需求内容：法律服务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2.服务对象：鄂州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40" w:name="_GoBack"/>
      <w:bookmarkEnd w:id="40"/>
      <w:r>
        <w:rPr>
          <w:rFonts w:hint="eastAsia" w:ascii="仿宋" w:hAnsi="仿宋" w:eastAsia="仿宋"/>
          <w:sz w:val="24"/>
          <w:szCs w:val="24"/>
          <w:lang w:val="en-US" w:eastAsia="zh-CN"/>
        </w:rPr>
        <w:t>。</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3.框架协议有效期：</w:t>
      </w:r>
      <w:r>
        <w:rPr>
          <w:rFonts w:hint="eastAsia" w:ascii="仿宋" w:hAnsi="仿宋" w:eastAsia="仿宋"/>
          <w:sz w:val="24"/>
          <w:szCs w:val="24"/>
          <w:highlight w:val="none"/>
          <w:lang w:val="en-US" w:eastAsia="zh-CN"/>
        </w:rPr>
        <w:t>2024年1月1日</w:t>
      </w:r>
      <w:r>
        <w:rPr>
          <w:rFonts w:hint="eastAsia" w:ascii="仿宋" w:hAnsi="仿宋" w:eastAsia="仿宋"/>
          <w:sz w:val="24"/>
          <w:szCs w:val="24"/>
          <w:lang w:val="en-US" w:eastAsia="zh-CN"/>
        </w:rPr>
        <w:t>至2024年12月31日</w:t>
      </w:r>
    </w:p>
    <w:p>
      <w:pPr>
        <w:spacing w:line="360" w:lineRule="auto"/>
        <w:ind w:firstLine="480" w:firstLineChars="200"/>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4.分包情况：本项目共分6个包。</w:t>
      </w:r>
      <w:r>
        <w:rPr>
          <w:rFonts w:hint="eastAsia" w:ascii="仿宋" w:hAnsi="仿宋" w:eastAsia="仿宋"/>
          <w:bCs/>
          <w:sz w:val="24"/>
          <w:szCs w:val="24"/>
          <w:highlight w:val="none"/>
          <w:lang w:eastAsia="zh-CN"/>
        </w:rPr>
        <w:t>包1法律诉讼服务；包2知识产权法律服务；包3法律文件代理服务；包4仲裁服务；包5调解服务；包6其他法律服务。</w:t>
      </w:r>
    </w:p>
    <w:p>
      <w:pPr>
        <w:pStyle w:val="4"/>
        <w:numPr>
          <w:ilvl w:val="0"/>
          <w:numId w:val="2"/>
        </w:numPr>
        <w:spacing w:before="0" w:after="0" w:line="360" w:lineRule="auto"/>
        <w:ind w:left="616" w:hanging="616"/>
        <w:jc w:val="left"/>
        <w:rPr>
          <w:rFonts w:ascii="仿宋" w:hAnsi="仿宋" w:eastAsia="仿宋" w:cs="Times New Roman"/>
          <w:bCs w:val="0"/>
          <w:sz w:val="28"/>
          <w:szCs w:val="28"/>
          <w:highlight w:val="none"/>
          <w:lang w:val="zh-CN"/>
        </w:rPr>
      </w:pPr>
      <w:bookmarkStart w:id="7" w:name="_Toc48134913"/>
      <w:bookmarkStart w:id="8" w:name="_Toc228"/>
      <w:bookmarkStart w:id="9" w:name="_Toc13936"/>
      <w:r>
        <w:rPr>
          <w:rFonts w:hint="eastAsia" w:ascii="仿宋" w:hAnsi="仿宋" w:eastAsia="仿宋" w:cs="Times New Roman"/>
          <w:bCs w:val="0"/>
          <w:sz w:val="28"/>
          <w:szCs w:val="28"/>
          <w:highlight w:val="none"/>
          <w:lang w:val="en-US" w:eastAsia="zh-CN"/>
        </w:rPr>
        <w:t>服务</w:t>
      </w:r>
      <w:r>
        <w:rPr>
          <w:rFonts w:hint="eastAsia" w:ascii="仿宋" w:hAnsi="仿宋" w:eastAsia="仿宋" w:cs="Times New Roman"/>
          <w:bCs w:val="0"/>
          <w:sz w:val="28"/>
          <w:szCs w:val="28"/>
          <w:highlight w:val="none"/>
          <w:lang w:val="zh-CN"/>
        </w:rPr>
        <w:t>内容</w:t>
      </w:r>
      <w:bookmarkEnd w:id="7"/>
      <w:r>
        <w:rPr>
          <w:rFonts w:hint="eastAsia" w:ascii="仿宋" w:hAnsi="仿宋" w:eastAsia="仿宋" w:cs="Times New Roman"/>
          <w:bCs w:val="0"/>
          <w:sz w:val="28"/>
          <w:szCs w:val="28"/>
          <w:highlight w:val="none"/>
          <w:lang w:val="en-US" w:eastAsia="zh-CN"/>
        </w:rPr>
        <w:t>和服务要求</w:t>
      </w:r>
      <w:bookmarkEnd w:id="8"/>
      <w:bookmarkEnd w:id="9"/>
    </w:p>
    <w:p>
      <w:pPr>
        <w:outlineLvl w:val="0"/>
        <w:rPr>
          <w:rFonts w:hint="default" w:ascii="仿宋_GB2312" w:hAnsi="宋体" w:eastAsia="仿宋_GB2312" w:cs="Times New Roman"/>
          <w:b/>
          <w:bCs/>
          <w:color w:val="auto"/>
          <w:sz w:val="28"/>
          <w:szCs w:val="28"/>
          <w:lang w:val="en-US" w:eastAsia="zh-CN"/>
        </w:rPr>
      </w:pPr>
      <w:bookmarkStart w:id="10" w:name="_Toc3897"/>
      <w:bookmarkStart w:id="11" w:name="_Toc3116"/>
      <w:r>
        <w:rPr>
          <w:rFonts w:hint="eastAsia" w:ascii="仿宋_GB2312" w:hAnsi="宋体" w:eastAsia="仿宋_GB2312" w:cs="Times New Roman"/>
          <w:b/>
          <w:bCs/>
          <w:color w:val="auto"/>
          <w:sz w:val="28"/>
          <w:szCs w:val="28"/>
          <w:lang w:val="en-US" w:eastAsia="zh-CN"/>
        </w:rPr>
        <w:t>1.各包服务内容</w:t>
      </w:r>
      <w:bookmarkEnd w:id="10"/>
      <w:bookmarkEnd w:id="11"/>
    </w:p>
    <w:p>
      <w:pPr>
        <w:outlineLvl w:val="0"/>
        <w:rPr>
          <w:rFonts w:hint="eastAsia" w:ascii="仿宋_GB2312" w:hAnsi="宋体" w:eastAsia="仿宋_GB2312" w:cs="Times New Roman"/>
          <w:b/>
          <w:bCs/>
          <w:color w:val="auto"/>
          <w:sz w:val="28"/>
          <w:szCs w:val="28"/>
          <w:lang w:val="en-US" w:eastAsia="zh-CN"/>
        </w:rPr>
      </w:pPr>
      <w:bookmarkStart w:id="12" w:name="_Toc19061"/>
      <w:bookmarkStart w:id="13" w:name="_Toc12343"/>
      <w:r>
        <w:rPr>
          <w:rFonts w:hint="eastAsia" w:ascii="仿宋_GB2312" w:hAnsi="宋体" w:eastAsia="仿宋_GB2312" w:cs="Times New Roman"/>
          <w:b/>
          <w:bCs/>
          <w:color w:val="auto"/>
          <w:sz w:val="28"/>
          <w:szCs w:val="28"/>
          <w:lang w:val="en-US" w:eastAsia="zh-CN"/>
        </w:rPr>
        <w:t>第1包</w:t>
      </w:r>
      <w:r>
        <w:rPr>
          <w:rFonts w:hint="eastAsia" w:ascii="仿宋_GB2312" w:hAnsi="宋体" w:eastAsia="仿宋_GB2312" w:cs="Times New Roman"/>
          <w:b/>
          <w:bCs/>
          <w:color w:val="auto"/>
          <w:sz w:val="28"/>
          <w:szCs w:val="28"/>
        </w:rPr>
        <w:t>：</w:t>
      </w:r>
      <w:r>
        <w:rPr>
          <w:rFonts w:hint="eastAsia" w:ascii="仿宋_GB2312" w:hAnsi="宋体" w:eastAsia="仿宋_GB2312" w:cs="Times New Roman"/>
          <w:b/>
          <w:bCs/>
          <w:color w:val="auto"/>
          <w:sz w:val="28"/>
          <w:szCs w:val="28"/>
          <w:lang w:val="en-US" w:eastAsia="zh-CN"/>
        </w:rPr>
        <w:t>法律诉讼服务</w:t>
      </w:r>
      <w:bookmarkEnd w:id="12"/>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olor w:val="auto"/>
          <w:sz w:val="24"/>
          <w:szCs w:val="20"/>
          <w:lang w:val="zh-CN"/>
        </w:rPr>
      </w:pPr>
      <w:r>
        <w:rPr>
          <w:rFonts w:hint="eastAsia" w:ascii="仿宋" w:hAnsi="仿宋" w:eastAsia="仿宋"/>
          <w:color w:val="auto"/>
          <w:sz w:val="24"/>
          <w:szCs w:val="24"/>
          <w:lang w:val="en-US" w:eastAsia="zh-CN"/>
        </w:rPr>
        <w:t>本包采购内容</w:t>
      </w:r>
      <w:r>
        <w:rPr>
          <w:rFonts w:hint="eastAsia" w:ascii="仿宋" w:hAnsi="仿宋" w:eastAsia="仿宋"/>
          <w:color w:val="auto"/>
          <w:sz w:val="24"/>
          <w:szCs w:val="20"/>
          <w:lang w:val="zh-CN"/>
        </w:rPr>
        <w:t>包括刑事诉讼法律服务、民事诉讼法律服务、行政诉讼法律服务、涉外诉讼法律服务、其他法律诉讼服务。</w:t>
      </w:r>
    </w:p>
    <w:p>
      <w:pPr>
        <w:outlineLvl w:val="0"/>
        <w:rPr>
          <w:rFonts w:hint="eastAsia" w:ascii="仿宋_GB2312" w:hAnsi="宋体" w:eastAsia="仿宋_GB2312" w:cs="Times New Roman"/>
          <w:b/>
          <w:bCs/>
          <w:color w:val="auto"/>
          <w:sz w:val="28"/>
          <w:szCs w:val="28"/>
          <w:lang w:val="en-US" w:eastAsia="zh-CN"/>
        </w:rPr>
      </w:pPr>
      <w:bookmarkStart w:id="14" w:name="_Toc7071"/>
      <w:r>
        <w:rPr>
          <w:rFonts w:hint="eastAsia" w:ascii="仿宋_GB2312" w:hAnsi="宋体" w:eastAsia="仿宋_GB2312" w:cs="Times New Roman"/>
          <w:b/>
          <w:bCs/>
          <w:color w:val="auto"/>
          <w:sz w:val="28"/>
          <w:szCs w:val="28"/>
          <w:lang w:val="en-US" w:eastAsia="zh-CN"/>
        </w:rPr>
        <w:t>第2包：</w:t>
      </w:r>
      <w:bookmarkEnd w:id="14"/>
      <w:bookmarkStart w:id="15" w:name="_Toc620"/>
      <w:r>
        <w:rPr>
          <w:rFonts w:hint="eastAsia" w:ascii="仿宋_GB2312" w:hAnsi="宋体" w:eastAsia="仿宋_GB2312" w:cs="Times New Roman"/>
          <w:b/>
          <w:bCs/>
          <w:color w:val="auto"/>
          <w:sz w:val="28"/>
          <w:szCs w:val="28"/>
          <w:lang w:val="en-US" w:eastAsia="zh-CN"/>
        </w:rPr>
        <w:t>知识产权法律服务</w:t>
      </w:r>
      <w:bookmarkEnd w:id="15"/>
    </w:p>
    <w:p>
      <w:pPr>
        <w:spacing w:line="360" w:lineRule="auto"/>
        <w:ind w:firstLine="480" w:firstLineChars="200"/>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本包采购内容包括著作权、商标权等知识产权法律服务。</w:t>
      </w:r>
    </w:p>
    <w:p>
      <w:pPr>
        <w:outlineLvl w:val="0"/>
        <w:rPr>
          <w:rFonts w:hint="eastAsia" w:ascii="仿宋_GB2312" w:hAnsi="宋体" w:eastAsia="仿宋_GB2312" w:cs="Times New Roman"/>
          <w:b/>
          <w:bCs/>
          <w:color w:val="auto"/>
          <w:sz w:val="28"/>
          <w:szCs w:val="28"/>
          <w:lang w:val="en-US" w:eastAsia="zh-CN"/>
        </w:rPr>
      </w:pPr>
      <w:bookmarkStart w:id="16" w:name="_Toc31216"/>
      <w:bookmarkStart w:id="17" w:name="_Toc26475"/>
      <w:r>
        <w:rPr>
          <w:rFonts w:hint="eastAsia" w:ascii="仿宋_GB2312" w:hAnsi="宋体" w:eastAsia="仿宋_GB2312" w:cs="Times New Roman"/>
          <w:b/>
          <w:bCs/>
          <w:color w:val="auto"/>
          <w:sz w:val="28"/>
          <w:szCs w:val="28"/>
          <w:lang w:val="en-US" w:eastAsia="zh-CN"/>
        </w:rPr>
        <w:t>第3包</w:t>
      </w:r>
      <w:r>
        <w:rPr>
          <w:rFonts w:hint="eastAsia" w:ascii="仿宋_GB2312" w:hAnsi="宋体" w:eastAsia="仿宋_GB2312" w:cs="Times New Roman"/>
          <w:b/>
          <w:bCs/>
          <w:color w:val="auto"/>
          <w:sz w:val="28"/>
          <w:szCs w:val="28"/>
        </w:rPr>
        <w:t>：</w:t>
      </w:r>
      <w:bookmarkEnd w:id="16"/>
      <w:r>
        <w:rPr>
          <w:rFonts w:hint="eastAsia" w:ascii="仿宋_GB2312" w:hAnsi="宋体" w:eastAsia="仿宋_GB2312" w:cs="Times New Roman"/>
          <w:b/>
          <w:bCs/>
          <w:color w:val="auto"/>
          <w:sz w:val="28"/>
          <w:szCs w:val="28"/>
        </w:rPr>
        <w:t>法律文件代理服务</w:t>
      </w:r>
      <w:bookmarkEnd w:id="17"/>
    </w:p>
    <w:p>
      <w:pPr>
        <w:spacing w:line="360"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包括合同文书代理服务、遗嘱文书代理服务、财产文书代理服务、涉外法律文书代理服务、其他法律文件代理服务。</w:t>
      </w:r>
    </w:p>
    <w:p>
      <w:pPr>
        <w:outlineLvl w:val="0"/>
        <w:rPr>
          <w:rFonts w:hint="eastAsia" w:ascii="仿宋_GB2312" w:hAnsi="宋体" w:eastAsia="仿宋_GB2312" w:cs="Times New Roman"/>
          <w:b/>
          <w:bCs/>
          <w:color w:val="auto"/>
          <w:sz w:val="28"/>
          <w:szCs w:val="28"/>
          <w:lang w:val="en-US" w:eastAsia="zh-CN"/>
        </w:rPr>
      </w:pPr>
      <w:bookmarkStart w:id="18" w:name="_Toc11969"/>
      <w:bookmarkStart w:id="19" w:name="_Toc24713"/>
      <w:r>
        <w:rPr>
          <w:rFonts w:hint="eastAsia" w:ascii="仿宋_GB2312" w:hAnsi="宋体" w:eastAsia="仿宋_GB2312" w:cs="Times New Roman"/>
          <w:b/>
          <w:bCs/>
          <w:color w:val="auto"/>
          <w:sz w:val="28"/>
          <w:szCs w:val="28"/>
          <w:lang w:val="en-US" w:eastAsia="zh-CN"/>
        </w:rPr>
        <w:t>第4包</w:t>
      </w:r>
      <w:r>
        <w:rPr>
          <w:rFonts w:hint="eastAsia" w:ascii="仿宋_GB2312" w:hAnsi="宋体" w:eastAsia="仿宋_GB2312" w:cs="Times New Roman"/>
          <w:b/>
          <w:bCs/>
          <w:color w:val="auto"/>
          <w:sz w:val="28"/>
          <w:szCs w:val="28"/>
        </w:rPr>
        <w:t>：</w:t>
      </w:r>
      <w:r>
        <w:rPr>
          <w:rFonts w:hint="eastAsia" w:ascii="仿宋_GB2312" w:hAnsi="宋体" w:eastAsia="仿宋_GB2312" w:cs="Times New Roman"/>
          <w:b/>
          <w:bCs/>
          <w:color w:val="auto"/>
          <w:sz w:val="28"/>
          <w:szCs w:val="28"/>
          <w:lang w:val="en-US" w:eastAsia="zh-CN"/>
        </w:rPr>
        <w:t>仲裁服务</w:t>
      </w:r>
      <w:bookmarkEnd w:id="18"/>
      <w:bookmarkEnd w:id="19"/>
    </w:p>
    <w:p>
      <w:pPr>
        <w:spacing w:line="360" w:lineRule="auto"/>
        <w:ind w:firstLine="480" w:firstLineChars="200"/>
        <w:rPr>
          <w:rFonts w:hint="eastAsia"/>
          <w:color w:val="auto"/>
          <w:lang w:val="en-US" w:eastAsia="zh-CN"/>
        </w:rPr>
      </w:pPr>
      <w:r>
        <w:rPr>
          <w:rFonts w:hint="eastAsia" w:ascii="仿宋" w:hAnsi="仿宋" w:eastAsia="仿宋"/>
          <w:color w:val="auto"/>
          <w:sz w:val="24"/>
          <w:szCs w:val="24"/>
          <w:lang w:val="en-US" w:eastAsia="zh-CN"/>
        </w:rPr>
        <w:t>本包采购内容包括涉外仲裁服务、经济仲裁服务、劳动仲裁服务、专利等知识产权仲裁服务、其他仲裁服务。</w:t>
      </w:r>
    </w:p>
    <w:p>
      <w:pPr>
        <w:outlineLvl w:val="0"/>
        <w:rPr>
          <w:rFonts w:hint="eastAsia" w:ascii="仿宋_GB2312" w:hAnsi="宋体" w:eastAsia="仿宋_GB2312" w:cs="Times New Roman"/>
          <w:b/>
          <w:bCs/>
          <w:color w:val="auto"/>
          <w:sz w:val="28"/>
          <w:szCs w:val="28"/>
          <w:lang w:val="en-US" w:eastAsia="zh-CN"/>
        </w:rPr>
      </w:pPr>
      <w:bookmarkStart w:id="20" w:name="_Toc16088"/>
      <w:bookmarkStart w:id="21" w:name="_Toc9187"/>
      <w:r>
        <w:rPr>
          <w:rFonts w:hint="eastAsia" w:ascii="仿宋_GB2312" w:hAnsi="宋体" w:eastAsia="仿宋_GB2312" w:cs="Times New Roman"/>
          <w:b/>
          <w:bCs/>
          <w:color w:val="auto"/>
          <w:sz w:val="28"/>
          <w:szCs w:val="28"/>
          <w:lang w:val="en-US" w:eastAsia="zh-CN"/>
        </w:rPr>
        <w:t>第5包</w:t>
      </w:r>
      <w:r>
        <w:rPr>
          <w:rFonts w:hint="eastAsia" w:ascii="仿宋_GB2312" w:hAnsi="宋体" w:eastAsia="仿宋_GB2312" w:cs="Times New Roman"/>
          <w:b/>
          <w:bCs/>
          <w:color w:val="auto"/>
          <w:sz w:val="28"/>
          <w:szCs w:val="28"/>
        </w:rPr>
        <w:t>：</w:t>
      </w:r>
      <w:r>
        <w:rPr>
          <w:rFonts w:hint="eastAsia" w:ascii="仿宋_GB2312" w:hAnsi="宋体" w:eastAsia="仿宋_GB2312" w:cs="Times New Roman"/>
          <w:b/>
          <w:bCs/>
          <w:color w:val="auto"/>
          <w:sz w:val="28"/>
          <w:szCs w:val="28"/>
          <w:lang w:val="en-US" w:eastAsia="zh-CN"/>
        </w:rPr>
        <w:t>调解服务</w:t>
      </w:r>
      <w:bookmarkEnd w:id="20"/>
      <w:bookmarkEnd w:id="21"/>
    </w:p>
    <w:p>
      <w:pPr>
        <w:spacing w:line="360"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本包采购内容包括民事调解服务、劳动争议调解服务、其他调解服务。</w:t>
      </w:r>
    </w:p>
    <w:p>
      <w:pPr>
        <w:outlineLvl w:val="0"/>
        <w:rPr>
          <w:rFonts w:hint="eastAsia" w:ascii="仿宋_GB2312" w:hAnsi="宋体" w:eastAsia="仿宋_GB2312" w:cs="Times New Roman"/>
          <w:b/>
          <w:bCs/>
          <w:color w:val="auto"/>
          <w:sz w:val="28"/>
          <w:szCs w:val="28"/>
          <w:lang w:val="en-US" w:eastAsia="zh-CN"/>
        </w:rPr>
      </w:pPr>
      <w:bookmarkStart w:id="22" w:name="_Toc20745"/>
      <w:bookmarkStart w:id="23" w:name="_Toc23013"/>
      <w:r>
        <w:rPr>
          <w:rFonts w:hint="eastAsia" w:ascii="仿宋_GB2312" w:hAnsi="宋体" w:eastAsia="仿宋_GB2312" w:cs="Times New Roman"/>
          <w:b/>
          <w:bCs/>
          <w:color w:val="auto"/>
          <w:sz w:val="28"/>
          <w:szCs w:val="28"/>
          <w:lang w:val="en-US" w:eastAsia="zh-CN"/>
        </w:rPr>
        <w:t>第6包：其他法律服务</w:t>
      </w:r>
      <w:bookmarkEnd w:id="22"/>
      <w:bookmarkEnd w:id="23"/>
    </w:p>
    <w:p>
      <w:pPr>
        <w:spacing w:line="360"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本包采购内容包括与法律有关的调查、取证等相关服务。</w:t>
      </w:r>
    </w:p>
    <w:p>
      <w:pPr>
        <w:outlineLvl w:val="0"/>
        <w:rPr>
          <w:rFonts w:hint="default" w:ascii="仿宋_GB2312" w:hAnsi="宋体" w:eastAsia="仿宋_GB2312" w:cs="Times New Roman"/>
          <w:b/>
          <w:bCs/>
          <w:color w:val="auto"/>
          <w:sz w:val="28"/>
          <w:szCs w:val="28"/>
          <w:lang w:val="en-US" w:eastAsia="zh-CN"/>
        </w:rPr>
      </w:pPr>
      <w:bookmarkStart w:id="24" w:name="_Toc28164"/>
      <w:bookmarkStart w:id="25" w:name="_Toc27210"/>
      <w:r>
        <w:rPr>
          <w:rFonts w:hint="eastAsia" w:ascii="仿宋_GB2312" w:hAnsi="宋体" w:eastAsia="仿宋_GB2312" w:cs="Times New Roman"/>
          <w:b/>
          <w:bCs/>
          <w:color w:val="auto"/>
          <w:sz w:val="28"/>
          <w:szCs w:val="28"/>
          <w:lang w:val="en-US" w:eastAsia="zh-CN"/>
        </w:rPr>
        <w:t>2.服务要求</w:t>
      </w:r>
      <w:bookmarkEnd w:id="24"/>
      <w:bookmarkEnd w:id="25"/>
    </w:p>
    <w:p>
      <w:pPr>
        <w:pStyle w:val="7"/>
        <w:ind w:left="0" w:leftChars="0" w:firstLine="0" w:firstLineChars="0"/>
        <w:jc w:val="left"/>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2.1服务标准</w:t>
      </w:r>
    </w:p>
    <w:p>
      <w:pPr>
        <w:spacing w:line="360" w:lineRule="auto"/>
        <w:ind w:firstLine="480" w:firstLineChars="200"/>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供应商提供的服务应满足《中华人民共和国律师法》、《律师执业管理办法》、《中华全国律师协会执业行为规范》等法律法规和行业规范等规范性文件要求。</w:t>
      </w:r>
    </w:p>
    <w:p>
      <w:pPr>
        <w:pStyle w:val="7"/>
        <w:ind w:left="0" w:leftChars="0" w:firstLine="0" w:firstLineChars="0"/>
        <w:jc w:val="left"/>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2.2服务人员要求</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color w:val="auto"/>
          <w:sz w:val="24"/>
          <w:szCs w:val="24"/>
          <w:lang w:val="en-US" w:eastAsia="zh-CN"/>
        </w:rPr>
        <w:t>针对采购人的项目具体需求，安排有相关经验的律师或者法律服务团队为采购人提供相应的法律服务。</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cs="Times New Roman"/>
          <w:color w:val="auto"/>
          <w:sz w:val="24"/>
          <w:szCs w:val="24"/>
          <w:lang w:val="en-US" w:eastAsia="zh-CN"/>
        </w:rPr>
        <w:t>采购人</w:t>
      </w:r>
      <w:r>
        <w:rPr>
          <w:rFonts w:hint="default" w:ascii="仿宋" w:hAnsi="仿宋" w:eastAsia="仿宋" w:cs="Times New Roman"/>
          <w:color w:val="auto"/>
          <w:sz w:val="24"/>
          <w:szCs w:val="24"/>
          <w:lang w:val="en-US" w:eastAsia="zh-CN"/>
        </w:rPr>
        <w:t>有权要求与相关当事人及</w:t>
      </w:r>
      <w:r>
        <w:rPr>
          <w:rFonts w:hint="eastAsia" w:ascii="仿宋" w:hAnsi="仿宋" w:eastAsia="仿宋" w:cs="Times New Roman"/>
          <w:color w:val="auto"/>
          <w:sz w:val="24"/>
          <w:szCs w:val="24"/>
          <w:lang w:val="en-US" w:eastAsia="zh-CN"/>
        </w:rPr>
        <w:t>服务</w:t>
      </w:r>
      <w:r>
        <w:rPr>
          <w:rFonts w:hint="default" w:ascii="仿宋" w:hAnsi="仿宋" w:eastAsia="仿宋" w:cs="Times New Roman"/>
          <w:color w:val="auto"/>
          <w:sz w:val="24"/>
          <w:szCs w:val="24"/>
          <w:lang w:val="en-US" w:eastAsia="zh-CN"/>
        </w:rPr>
        <w:t>对象有利</w:t>
      </w:r>
      <w:r>
        <w:rPr>
          <w:rFonts w:hint="default" w:ascii="仿宋" w:hAnsi="仿宋" w:eastAsia="仿宋" w:cs="Times New Roman"/>
          <w:sz w:val="24"/>
          <w:szCs w:val="24"/>
          <w:lang w:val="en-US" w:eastAsia="zh-CN"/>
        </w:rPr>
        <w:t>害关系的人员回避。</w:t>
      </w:r>
    </w:p>
    <w:p>
      <w:pPr>
        <w:pStyle w:val="7"/>
        <w:ind w:left="0" w:leftChars="0" w:firstLine="0" w:firstLineChars="0"/>
        <w:jc w:val="left"/>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2.3服务的地域范围</w:t>
      </w:r>
    </w:p>
    <w:p>
      <w:pPr>
        <w:spacing w:line="360" w:lineRule="auto"/>
        <w:ind w:firstLine="480" w:firstLineChars="200"/>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根据采购人具体项目需求在鄂州市范围内提供法律服务，但不排除根据具体项目实际情况需要赴鄂州市外开展必要的调查、取证、调研论证、应诉等法律服务活动。</w:t>
      </w:r>
    </w:p>
    <w:p>
      <w:pPr>
        <w:pStyle w:val="7"/>
        <w:ind w:left="0" w:leftChars="0" w:firstLine="0" w:firstLineChars="0"/>
        <w:jc w:val="left"/>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2.4服务计量方式</w:t>
      </w:r>
    </w:p>
    <w:p>
      <w:pPr>
        <w:spacing w:line="360" w:lineRule="auto"/>
        <w:ind w:firstLine="480" w:firstLineChars="200"/>
        <w:rPr>
          <w:lang w:val="zh-CN"/>
        </w:rPr>
      </w:pPr>
      <w:r>
        <w:rPr>
          <w:rFonts w:hint="eastAsia" w:ascii="仿宋" w:hAnsi="仿宋" w:eastAsia="仿宋" w:cs="Times New Roman"/>
          <w:color w:val="auto"/>
          <w:sz w:val="24"/>
          <w:szCs w:val="24"/>
          <w:lang w:val="en-US" w:eastAsia="zh-CN"/>
        </w:rPr>
        <w:t>按件或者计时计算服务数量，具体服务计量方式根据项目实际情况，由采购人和供应商协商确定。</w:t>
      </w:r>
    </w:p>
    <w:bookmarkEnd w:id="5"/>
    <w:bookmarkEnd w:id="6"/>
    <w:p>
      <w:pPr>
        <w:pStyle w:val="4"/>
        <w:numPr>
          <w:ilvl w:val="0"/>
          <w:numId w:val="2"/>
        </w:numPr>
        <w:spacing w:before="0" w:after="0" w:line="360" w:lineRule="auto"/>
        <w:ind w:left="616" w:hanging="616"/>
        <w:jc w:val="left"/>
        <w:rPr>
          <w:rFonts w:ascii="仿宋" w:hAnsi="仿宋" w:eastAsia="仿宋"/>
          <w:bCs w:val="0"/>
          <w:sz w:val="28"/>
          <w:szCs w:val="28"/>
          <w:lang w:val="zh-CN"/>
        </w:rPr>
      </w:pPr>
      <w:bookmarkStart w:id="26" w:name="_Toc11327"/>
      <w:bookmarkStart w:id="27" w:name="_Toc1035"/>
      <w:bookmarkStart w:id="28" w:name="_Toc20591"/>
      <w:bookmarkStart w:id="29" w:name="_Toc16212"/>
      <w:bookmarkStart w:id="30" w:name="_Toc16979"/>
      <w:bookmarkStart w:id="31" w:name="_Toc18213"/>
      <w:bookmarkStart w:id="32" w:name="_Toc692"/>
      <w:bookmarkStart w:id="33" w:name="_Toc48134916"/>
      <w:r>
        <w:rPr>
          <w:rFonts w:hint="eastAsia" w:ascii="仿宋" w:hAnsi="仿宋" w:eastAsia="仿宋"/>
          <w:bCs w:val="0"/>
          <w:sz w:val="28"/>
          <w:szCs w:val="28"/>
          <w:lang w:val="en-US" w:eastAsia="zh-CN"/>
        </w:rPr>
        <w:t>报价</w:t>
      </w:r>
      <w:r>
        <w:rPr>
          <w:rFonts w:hint="eastAsia" w:ascii="仿宋" w:hAnsi="仿宋" w:eastAsia="仿宋"/>
          <w:bCs w:val="0"/>
          <w:sz w:val="28"/>
          <w:szCs w:val="28"/>
          <w:lang w:val="zh-CN"/>
        </w:rPr>
        <w:t>要求</w:t>
      </w:r>
      <w:bookmarkEnd w:id="26"/>
      <w:bookmarkEnd w:id="27"/>
      <w:bookmarkEnd w:id="28"/>
      <w:bookmarkEnd w:id="29"/>
      <w:bookmarkEnd w:id="30"/>
      <w:bookmarkEnd w:id="31"/>
      <w:bookmarkEnd w:id="32"/>
    </w:p>
    <w:p>
      <w:pPr>
        <w:numPr>
          <w:ilvl w:val="0"/>
          <w:numId w:val="0"/>
        </w:numPr>
        <w:outlineLvl w:val="0"/>
        <w:rPr>
          <w:rFonts w:hint="default"/>
          <w:color w:val="auto"/>
          <w:lang w:val="en-US" w:eastAsia="zh-CN"/>
        </w:rPr>
      </w:pPr>
      <w:bookmarkStart w:id="34" w:name="_Toc17013"/>
      <w:bookmarkStart w:id="35" w:name="_Toc16425"/>
      <w:r>
        <w:rPr>
          <w:rFonts w:hint="eastAsia" w:ascii="仿宋_GB2312" w:hAnsi="宋体" w:eastAsia="仿宋_GB2312" w:cs="Times New Roman"/>
          <w:b/>
          <w:bCs/>
          <w:color w:val="auto"/>
          <w:sz w:val="28"/>
          <w:szCs w:val="28"/>
          <w:lang w:val="en-US" w:eastAsia="zh-CN"/>
        </w:rPr>
        <w:t>（一）各包报价要求：</w:t>
      </w:r>
      <w:bookmarkEnd w:id="34"/>
      <w:bookmarkEnd w:id="35"/>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768"/>
        <w:gridCol w:w="2891"/>
        <w:gridCol w:w="3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841" w:type="dxa"/>
            <w:vAlign w:val="center"/>
          </w:tcPr>
          <w:p>
            <w:pPr>
              <w:keepNext w:val="0"/>
              <w:keepLines w:val="0"/>
              <w:suppressLineNumbers w:val="0"/>
              <w:spacing w:before="0" w:beforeAutospacing="0" w:after="0" w:afterAutospacing="0"/>
              <w:ind w:left="0" w:right="0"/>
              <w:jc w:val="center"/>
              <w:rPr>
                <w:rFonts w:hint="eastAsia" w:ascii="黑体" w:hAnsi="黑体" w:eastAsia="黑体" w:cs="黑体"/>
                <w:color w:val="000000"/>
                <w:kern w:val="0"/>
                <w:sz w:val="24"/>
                <w:highlight w:val="none"/>
                <w:lang w:val="en-US" w:eastAsia="zh-CN"/>
              </w:rPr>
            </w:pPr>
            <w:r>
              <w:rPr>
                <w:rFonts w:hint="eastAsia" w:ascii="黑体" w:hAnsi="黑体" w:eastAsia="黑体" w:cs="黑体"/>
                <w:color w:val="000000"/>
                <w:kern w:val="0"/>
                <w:sz w:val="24"/>
                <w:highlight w:val="none"/>
                <w:lang w:val="en-US" w:eastAsia="zh-CN"/>
              </w:rPr>
              <w:t>分包</w:t>
            </w:r>
          </w:p>
        </w:tc>
        <w:tc>
          <w:tcPr>
            <w:tcW w:w="1883" w:type="dxa"/>
            <w:vAlign w:val="center"/>
          </w:tcPr>
          <w:p>
            <w:pPr>
              <w:keepNext w:val="0"/>
              <w:keepLines w:val="0"/>
              <w:suppressLineNumbers w:val="0"/>
              <w:spacing w:before="0" w:beforeAutospacing="0" w:after="0" w:afterAutospacing="0"/>
              <w:ind w:left="0" w:right="0"/>
              <w:jc w:val="center"/>
              <w:rPr>
                <w:rFonts w:hint="eastAsia" w:ascii="黑体" w:hAnsi="黑体" w:eastAsia="黑体" w:cs="黑体"/>
                <w:color w:val="000000"/>
                <w:kern w:val="0"/>
                <w:sz w:val="24"/>
                <w:highlight w:val="none"/>
                <w:lang w:val="en-US" w:eastAsia="zh-CN"/>
              </w:rPr>
            </w:pPr>
            <w:r>
              <w:rPr>
                <w:rFonts w:hint="eastAsia" w:ascii="黑体" w:hAnsi="黑体" w:eastAsia="黑体" w:cs="黑体"/>
                <w:color w:val="000000"/>
                <w:kern w:val="0"/>
                <w:sz w:val="24"/>
                <w:highlight w:val="none"/>
                <w:lang w:val="en-US" w:eastAsia="zh-CN"/>
              </w:rPr>
              <w:t>采购包名称</w:t>
            </w:r>
          </w:p>
        </w:tc>
        <w:tc>
          <w:tcPr>
            <w:tcW w:w="3084" w:type="dxa"/>
            <w:vAlign w:val="center"/>
          </w:tcPr>
          <w:p>
            <w:pPr>
              <w:keepNext w:val="0"/>
              <w:keepLines w:val="0"/>
              <w:suppressLineNumbers w:val="0"/>
              <w:spacing w:before="0" w:beforeAutospacing="0" w:after="0" w:afterAutospacing="0"/>
              <w:ind w:left="0" w:right="0"/>
              <w:jc w:val="center"/>
              <w:rPr>
                <w:rFonts w:hint="eastAsia" w:ascii="黑体" w:hAnsi="黑体" w:eastAsia="黑体" w:cs="黑体"/>
                <w:color w:val="000000"/>
                <w:kern w:val="0"/>
                <w:sz w:val="24"/>
                <w:highlight w:val="none"/>
                <w:lang w:val="en-US" w:eastAsia="zh-CN"/>
              </w:rPr>
            </w:pPr>
            <w:r>
              <w:rPr>
                <w:rFonts w:hint="eastAsia" w:ascii="黑体" w:hAnsi="黑体" w:eastAsia="黑体" w:cs="黑体"/>
                <w:color w:val="000000"/>
                <w:kern w:val="0"/>
                <w:sz w:val="24"/>
                <w:highlight w:val="none"/>
                <w:lang w:val="en-US" w:eastAsia="zh-CN"/>
              </w:rPr>
              <w:t>采购内容</w:t>
            </w:r>
          </w:p>
        </w:tc>
        <w:tc>
          <w:tcPr>
            <w:tcW w:w="3251" w:type="dxa"/>
            <w:vAlign w:val="center"/>
          </w:tcPr>
          <w:p>
            <w:pPr>
              <w:keepNext w:val="0"/>
              <w:keepLines w:val="0"/>
              <w:suppressLineNumbers w:val="0"/>
              <w:spacing w:before="0" w:beforeAutospacing="0" w:after="0" w:afterAutospacing="0"/>
              <w:ind w:left="0" w:right="0"/>
              <w:jc w:val="center"/>
              <w:rPr>
                <w:rFonts w:hint="default" w:ascii="黑体" w:hAnsi="黑体" w:eastAsia="黑体" w:cs="黑体"/>
                <w:color w:val="000000"/>
                <w:kern w:val="0"/>
                <w:sz w:val="24"/>
                <w:highlight w:val="none"/>
                <w:lang w:val="en-US" w:eastAsia="zh-CN"/>
              </w:rPr>
            </w:pPr>
            <w:r>
              <w:rPr>
                <w:rFonts w:hint="eastAsia" w:ascii="黑体" w:hAnsi="黑体" w:eastAsia="黑体" w:cs="黑体"/>
                <w:color w:val="000000"/>
                <w:kern w:val="0"/>
                <w:sz w:val="24"/>
                <w:highlight w:val="none"/>
                <w:lang w:val="en-US" w:eastAsia="zh-CN"/>
              </w:rPr>
              <w:t>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trPr>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包1</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法律诉讼服务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zh-CN" w:bidi="ar"/>
              </w:rPr>
              <w:t>刑事诉讼法律服务、民事诉讼法律服务、行政诉讼法律服务、涉外诉讼法律服务、其他法律诉讼服务</w:t>
            </w:r>
          </w:p>
        </w:tc>
        <w:tc>
          <w:tcPr>
            <w:tcW w:w="3251" w:type="dxa"/>
            <w:vMerge w:val="restart"/>
            <w:vAlign w:val="center"/>
          </w:tcPr>
          <w:p>
            <w:pPr>
              <w:pStyle w:val="11"/>
              <w:keepNext w:val="0"/>
              <w:keepLines w:val="0"/>
              <w:suppressLineNumbers w:val="0"/>
              <w:spacing w:before="0" w:beforeAutospacing="0" w:after="0" w:afterAutospacing="0"/>
              <w:ind w:left="0" w:leftChars="0" w:right="0" w:firstLine="0" w:firstLineChars="0"/>
              <w:jc w:val="left"/>
              <w:rPr>
                <w:rFonts w:hint="eastAsia" w:ascii="宋体" w:hAnsi="宋体" w:eastAsia="宋体" w:cs="宋体"/>
                <w:color w:val="auto"/>
                <w:sz w:val="24"/>
                <w:szCs w:val="24"/>
                <w:lang w:val="zh-CN"/>
              </w:rPr>
            </w:pPr>
            <w:r>
              <w:rPr>
                <w:rFonts w:hint="eastAsia" w:ascii="仿宋_GB2312" w:hAnsi="仿宋_GB2312" w:eastAsia="仿宋_GB2312" w:cs="仿宋_GB2312"/>
                <w:color w:val="000000"/>
                <w:kern w:val="0"/>
                <w:sz w:val="24"/>
                <w:szCs w:val="24"/>
                <w:lang w:val="en-US" w:eastAsia="zh-CN" w:bidi="ar"/>
              </w:rPr>
              <w:t>每个包需分别报折扣率响应，折扣率以本所备案的收费标准为基准，请报价至小数点后两位数或以上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包2</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知识产权法律服务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著作权、商标权等知识产权法律服务</w:t>
            </w:r>
          </w:p>
        </w:tc>
        <w:tc>
          <w:tcPr>
            <w:tcW w:w="3251" w:type="dxa"/>
            <w:vMerge w:val="continue"/>
            <w:vAlign w:val="top"/>
          </w:tcPr>
          <w:p>
            <w:pPr>
              <w:pStyle w:val="11"/>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trPr>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包3</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法律文件代理服务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合同文书代理服务、遗嘱文书代理服务、财产文书代理服务、涉外法律文书代理服务、其他法律文件代理服务</w:t>
            </w:r>
          </w:p>
        </w:tc>
        <w:tc>
          <w:tcPr>
            <w:tcW w:w="3251" w:type="dxa"/>
            <w:vMerge w:val="continue"/>
            <w:vAlign w:val="top"/>
          </w:tcPr>
          <w:p>
            <w:pPr>
              <w:pStyle w:val="11"/>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包4</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仲裁服务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涉外仲裁服务、经济仲裁服务、劳动仲裁服务、专利等知识产权仲裁服务、其他仲裁服务</w:t>
            </w:r>
          </w:p>
        </w:tc>
        <w:tc>
          <w:tcPr>
            <w:tcW w:w="3251" w:type="dxa"/>
            <w:vMerge w:val="continue"/>
            <w:vAlign w:val="top"/>
          </w:tcPr>
          <w:p>
            <w:pPr>
              <w:pStyle w:val="11"/>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包5</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调解服务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民事调解服务、劳动争议调解服务、其他调解服务</w:t>
            </w:r>
          </w:p>
        </w:tc>
        <w:tc>
          <w:tcPr>
            <w:tcW w:w="3251" w:type="dxa"/>
            <w:vMerge w:val="continue"/>
            <w:vAlign w:val="top"/>
          </w:tcPr>
          <w:p>
            <w:pPr>
              <w:pStyle w:val="11"/>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pStyle w:val="11"/>
              <w:keepNext w:val="0"/>
              <w:keepLines w:val="0"/>
              <w:suppressLineNumbers w:val="0"/>
              <w:spacing w:before="0" w:beforeAutospacing="0" w:after="0" w:afterAutospacing="0"/>
              <w:ind w:left="0" w:leftChars="0" w:right="0" w:firstLine="0" w:firstLineChars="0"/>
              <w:jc w:val="center"/>
              <w:rPr>
                <w:rFonts w:hint="eastAsia" w:ascii="楷体_GB2312" w:hAnsi="楷体_GB2312" w:eastAsia="楷体_GB2312" w:cs="楷体_GB2312"/>
                <w:bCs/>
                <w:color w:val="000000"/>
                <w:kern w:val="0"/>
                <w:sz w:val="24"/>
                <w:szCs w:val="24"/>
                <w:lang w:val="en-US" w:eastAsia="zh-CN" w:bidi="ar"/>
              </w:rPr>
            </w:pPr>
            <w:r>
              <w:rPr>
                <w:rFonts w:hint="eastAsia" w:ascii="楷体_GB2312" w:hAnsi="楷体_GB2312" w:eastAsia="楷体_GB2312" w:cs="楷体_GB2312"/>
                <w:bCs/>
                <w:color w:val="000000"/>
                <w:kern w:val="0"/>
                <w:sz w:val="24"/>
                <w:szCs w:val="24"/>
                <w:lang w:val="en-US" w:eastAsia="zh-CN" w:bidi="ar"/>
              </w:rPr>
              <w:t>包6</w:t>
            </w:r>
          </w:p>
        </w:tc>
        <w:tc>
          <w:tcPr>
            <w:tcW w:w="1883"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其他法律服务</w:t>
            </w:r>
          </w:p>
        </w:tc>
        <w:tc>
          <w:tcPr>
            <w:tcW w:w="3084" w:type="dxa"/>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kern w:val="0"/>
                <w:sz w:val="24"/>
                <w:lang w:val="en-US" w:eastAsia="zh-CN" w:bidi="ar"/>
              </w:rPr>
            </w:pPr>
            <w:r>
              <w:rPr>
                <w:rFonts w:hint="eastAsia" w:ascii="仿宋_GB2312" w:hAnsi="仿宋_GB2312" w:eastAsia="仿宋_GB2312" w:cs="仿宋_GB2312"/>
                <w:color w:val="000000"/>
                <w:kern w:val="0"/>
                <w:sz w:val="24"/>
                <w:lang w:val="en-US" w:eastAsia="zh-CN" w:bidi="ar"/>
              </w:rPr>
              <w:t>与法律有关的调查、取证等相关服务</w:t>
            </w:r>
          </w:p>
        </w:tc>
        <w:tc>
          <w:tcPr>
            <w:tcW w:w="3251" w:type="dxa"/>
            <w:vMerge w:val="continue"/>
            <w:vAlign w:val="top"/>
          </w:tcPr>
          <w:p>
            <w:pPr>
              <w:pStyle w:val="11"/>
              <w:keepNext w:val="0"/>
              <w:keepLines w:val="0"/>
              <w:suppressLineNumbers w:val="0"/>
              <w:spacing w:before="0" w:beforeAutospacing="0" w:after="0" w:afterAutospacing="0"/>
              <w:ind w:left="0" w:leftChars="0" w:right="0" w:firstLine="0" w:firstLineChars="0"/>
              <w:rPr>
                <w:rFonts w:hint="eastAsia" w:ascii="宋体" w:hAnsi="宋体" w:eastAsia="宋体" w:cs="宋体"/>
                <w:color w:val="auto"/>
                <w:sz w:val="24"/>
                <w:szCs w:val="24"/>
                <w:lang w:val="en-US" w:eastAsia="zh-CN"/>
              </w:rPr>
            </w:pPr>
          </w:p>
        </w:tc>
      </w:tr>
    </w:tbl>
    <w:p>
      <w:pPr>
        <w:bidi w:val="0"/>
        <w:rPr>
          <w:rFonts w:hint="eastAsia"/>
          <w:lang w:val="en-US" w:eastAsia="zh-CN"/>
        </w:rPr>
      </w:pPr>
    </w:p>
    <w:bookmarkEnd w:id="33"/>
    <w:p>
      <w:pPr>
        <w:numPr>
          <w:ilvl w:val="0"/>
          <w:numId w:val="0"/>
        </w:numPr>
        <w:ind w:left="210" w:leftChars="0"/>
        <w:outlineLvl w:val="0"/>
        <w:rPr>
          <w:rFonts w:hint="eastAsia" w:ascii="仿宋_GB2312" w:hAnsi="宋体" w:eastAsia="仿宋_GB2312" w:cs="Times New Roman"/>
          <w:b/>
          <w:bCs/>
          <w:color w:val="auto"/>
          <w:sz w:val="28"/>
          <w:szCs w:val="28"/>
          <w:lang w:val="en-US" w:eastAsia="zh-CN"/>
        </w:rPr>
      </w:pPr>
      <w:bookmarkStart w:id="36" w:name="_Toc2889"/>
      <w:bookmarkStart w:id="37" w:name="_Toc30392"/>
      <w:r>
        <w:rPr>
          <w:rFonts w:hint="eastAsia" w:ascii="仿宋_GB2312" w:hAnsi="宋体" w:eastAsia="仿宋_GB2312" w:cs="Times New Roman"/>
          <w:b/>
          <w:bCs/>
          <w:color w:val="auto"/>
          <w:sz w:val="28"/>
          <w:szCs w:val="28"/>
          <w:lang w:val="en-US" w:eastAsia="zh-CN"/>
        </w:rPr>
        <w:t>（二）供应商报价要求</w:t>
      </w:r>
      <w:bookmarkEnd w:id="36"/>
      <w:r>
        <w:rPr>
          <w:rFonts w:hint="eastAsia" w:ascii="仿宋_GB2312" w:hAnsi="宋体" w:eastAsia="仿宋_GB2312" w:cs="Times New Roman"/>
          <w:b/>
          <w:bCs/>
          <w:color w:val="auto"/>
          <w:sz w:val="28"/>
          <w:szCs w:val="28"/>
          <w:lang w:val="en-US" w:eastAsia="zh-CN"/>
        </w:rPr>
        <w:t>：</w:t>
      </w:r>
      <w:bookmarkEnd w:id="3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1.供应商所有报价均应为含税价格。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2.</w:t>
      </w:r>
      <w:r>
        <w:rPr>
          <w:rFonts w:hint="eastAsia" w:ascii="仿宋" w:hAnsi="仿宋" w:eastAsia="仿宋" w:cs="仿宋"/>
          <w:b/>
          <w:bCs/>
          <w:sz w:val="24"/>
          <w:szCs w:val="24"/>
          <w:lang w:val="en-US" w:eastAsia="zh-CN"/>
        </w:rPr>
        <w:t>报价折扣率</w:t>
      </w:r>
      <w:r>
        <w:rPr>
          <w:rFonts w:hint="eastAsia" w:ascii="仿宋" w:hAnsi="仿宋" w:eastAsia="仿宋" w:cs="仿宋"/>
          <w:b w:val="0"/>
          <w:bCs w:val="0"/>
          <w:sz w:val="24"/>
          <w:szCs w:val="24"/>
          <w:lang w:val="en-US" w:eastAsia="zh-CN"/>
        </w:rPr>
        <w:t>是指以</w:t>
      </w:r>
      <w:r>
        <w:rPr>
          <w:rFonts w:hint="eastAsia" w:ascii="仿宋" w:hAnsi="仿宋" w:eastAsia="仿宋" w:cs="Times New Roman"/>
          <w:color w:val="auto"/>
          <w:sz w:val="24"/>
          <w:szCs w:val="24"/>
          <w:lang w:val="en-US" w:eastAsia="zh-CN"/>
        </w:rPr>
        <w:t>本所收费标准</w:t>
      </w:r>
      <w:r>
        <w:rPr>
          <w:rFonts w:hint="eastAsia" w:ascii="仿宋" w:hAnsi="仿宋" w:eastAsia="仿宋" w:cs="仿宋"/>
          <w:b w:val="0"/>
          <w:bCs w:val="0"/>
          <w:sz w:val="24"/>
          <w:szCs w:val="24"/>
          <w:lang w:val="en-US" w:eastAsia="zh-CN"/>
        </w:rPr>
        <w:t>为基准的折扣，如：针对某项法律服务项目，按照律所收费标准费用为10000元，供应商本次报价折扣率为99.258％，则针对该项法律服务该供应商协议价格为9925.8元 （10000*99.258％=9925.8元）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bCs/>
          <w:color w:val="auto"/>
          <w:sz w:val="24"/>
          <w:szCs w:val="24"/>
          <w:lang w:val="en-US" w:eastAsia="zh-CN"/>
        </w:rPr>
      </w:pPr>
      <w:r>
        <w:rPr>
          <w:rFonts w:hint="eastAsia" w:ascii="仿宋" w:hAnsi="仿宋" w:eastAsia="仿宋" w:cs="Times New Roman"/>
          <w:color w:val="auto"/>
          <w:sz w:val="24"/>
          <w:szCs w:val="24"/>
          <w:lang w:val="en-US" w:eastAsia="zh-CN"/>
        </w:rPr>
        <w:t>★</w:t>
      </w:r>
      <w:r>
        <w:rPr>
          <w:rFonts w:hint="eastAsia" w:ascii="仿宋" w:hAnsi="仿宋" w:eastAsia="仿宋" w:cs="Times New Roman"/>
          <w:b/>
          <w:bCs/>
          <w:color w:val="auto"/>
          <w:sz w:val="24"/>
          <w:szCs w:val="24"/>
          <w:lang w:val="en-US" w:eastAsia="zh-CN"/>
        </w:rPr>
        <w:t>3.供应商根据前述报价要求，对所投采购包进行报价，填写“供应商报价”栏</w:t>
      </w:r>
      <w:r>
        <w:rPr>
          <w:rFonts w:hint="eastAsia" w:ascii="仿宋" w:hAnsi="仿宋" w:eastAsia="仿宋" w:cs="Times New Roman"/>
          <w:b/>
          <w:bCs/>
          <w:color w:val="auto"/>
          <w:sz w:val="24"/>
          <w:szCs w:val="24"/>
          <w:highlight w:val="none"/>
          <w:lang w:val="en-US" w:eastAsia="zh-CN"/>
        </w:rPr>
        <w:t>目（报价填报详见第七章附件《开标一览表》</w:t>
      </w:r>
      <w:r>
        <w:rPr>
          <w:rFonts w:hint="eastAsia" w:ascii="仿宋" w:hAnsi="仿宋" w:eastAsia="仿宋" w:cs="Times New Roman"/>
          <w:b/>
          <w:bCs/>
          <w:color w:val="auto"/>
          <w:sz w:val="24"/>
          <w:szCs w:val="24"/>
          <w:lang w:val="en-US" w:eastAsia="zh-CN"/>
        </w:rPr>
        <w:t>）。报价须满足以下要求，否则作为无效响应处理：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Times New Roman"/>
          <w:b/>
          <w:bCs/>
          <w:color w:val="auto"/>
          <w:sz w:val="24"/>
          <w:szCs w:val="24"/>
          <w:lang w:val="en-US" w:eastAsia="zh-CN"/>
        </w:rPr>
      </w:pPr>
      <w:r>
        <w:rPr>
          <w:rFonts w:hint="eastAsia" w:ascii="仿宋" w:hAnsi="仿宋" w:eastAsia="仿宋" w:cs="Times New Roman"/>
          <w:b/>
          <w:bCs/>
          <w:color w:val="auto"/>
          <w:sz w:val="24"/>
          <w:szCs w:val="24"/>
          <w:lang w:val="en-US" w:eastAsia="zh-CN"/>
        </w:rPr>
        <w:t>（1）必须对各包列明的服务项目进行报价，不得缺项、漏项。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Times New Roman"/>
          <w:b/>
          <w:bCs/>
          <w:color w:val="auto"/>
          <w:sz w:val="24"/>
          <w:szCs w:val="24"/>
          <w:highlight w:val="none"/>
          <w:lang w:val="en-US" w:eastAsia="zh-CN"/>
        </w:rPr>
      </w:pPr>
      <w:r>
        <w:rPr>
          <w:rFonts w:hint="eastAsia" w:ascii="仿宋" w:hAnsi="仿宋" w:eastAsia="仿宋" w:cs="Times New Roman"/>
          <w:b/>
          <w:bCs/>
          <w:color w:val="auto"/>
          <w:sz w:val="24"/>
          <w:szCs w:val="24"/>
          <w:highlight w:val="none"/>
          <w:lang w:val="en-US" w:eastAsia="zh-CN"/>
        </w:rPr>
        <w:t>（2）报价不得超过各项最高限价。报优惠率的不得超过100％，报固定价的不得超过规定的最高限价。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Times New Roman"/>
          <w:b/>
          <w:bCs/>
          <w:color w:val="auto"/>
          <w:sz w:val="24"/>
          <w:szCs w:val="24"/>
          <w:highlight w:val="none"/>
          <w:lang w:val="en-US" w:eastAsia="zh-CN"/>
        </w:rPr>
      </w:pPr>
      <w:r>
        <w:rPr>
          <w:rFonts w:hint="eastAsia" w:ascii="仿宋" w:hAnsi="仿宋" w:eastAsia="仿宋" w:cs="Times New Roman"/>
          <w:b/>
          <w:bCs/>
          <w:color w:val="auto"/>
          <w:sz w:val="24"/>
          <w:szCs w:val="24"/>
          <w:highlight w:val="none"/>
          <w:lang w:val="en-US" w:eastAsia="zh-CN"/>
        </w:rPr>
        <w:t>（3）不得采取区间报价，各项报价应是一个固定数值。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4.请供应商综合考虑服务的成本、效益等因素，结合以下情况，慎重填写本次报价内容：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A.本次征集活动采用“价格优先法”进行评审，供应商的报价多少决定能否成为入围供应商。（价格优先法：指对满足采购需求且响应报价不超过最高限制单价的货物、服务，按照响应报价从低到高排序，根据征集文件规定的淘汰率或者入围供应商数量上限，确定入围供应商的评审方法。详见本文件第五章 评标方法、程序与标准）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B.本次征集活动中入围供应商的报价（即协议价格），是后续采购人或服务对象确定第二阶段具体项目成交供应商的最高限价。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C.为防止报价趋同导致大量供应商进入淘汰名次（如：项目共计100家投标人参与投标，若70家报价为80％，30家报价为90％，则报价为90％的30家全部淘汰；若70家报价为80％，1家报价为89.99％，29家报价为90％，则报价为90％的29家全部淘汰），请供应商报价至小数点后</w:t>
      </w:r>
      <w:r>
        <w:rPr>
          <w:rFonts w:hint="eastAsia" w:ascii="仿宋_GB2312" w:hAnsi="仿宋_GB2312" w:eastAsia="仿宋_GB2312" w:cs="仿宋_GB2312"/>
          <w:color w:val="000000"/>
          <w:kern w:val="0"/>
          <w:sz w:val="22"/>
          <w:szCs w:val="22"/>
          <w:highlight w:val="none"/>
          <w:lang w:val="en-US" w:eastAsia="zh-CN"/>
        </w:rPr>
        <w:t>两</w:t>
      </w:r>
      <w:r>
        <w:rPr>
          <w:rFonts w:hint="eastAsia" w:ascii="仿宋" w:hAnsi="仿宋" w:eastAsia="仿宋" w:cs="Times New Roman"/>
          <w:b w:val="0"/>
          <w:bCs w:val="0"/>
          <w:color w:val="auto"/>
          <w:sz w:val="24"/>
          <w:szCs w:val="24"/>
          <w:lang w:val="en-US" w:eastAsia="zh-CN"/>
        </w:rPr>
        <w:t>位数或以上。如80.257％或95.3257％等。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★5.</w:t>
      </w:r>
      <w:r>
        <w:rPr>
          <w:rFonts w:hint="eastAsia" w:ascii="仿宋" w:hAnsi="仿宋" w:eastAsia="仿宋" w:cs="Times New Roman"/>
          <w:b/>
          <w:bCs/>
          <w:color w:val="auto"/>
          <w:sz w:val="24"/>
          <w:szCs w:val="24"/>
          <w:lang w:val="en-US" w:eastAsia="zh-CN"/>
        </w:rPr>
        <w:t>各供应商提交响应文件时，应提供本所对市场通用的，且现行有效的服务收费项目、收费标准和收费方式，并加盖公章，接受征集人和采购人监督。（提供复印件并加盖公章）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（4）供应商提供的收费标准等文件</w:t>
      </w:r>
      <w:r>
        <w:rPr>
          <w:rFonts w:hint="eastAsia" w:ascii="仿宋" w:hAnsi="仿宋" w:eastAsia="仿宋" w:cs="Times New Roman"/>
          <w:color w:val="auto"/>
          <w:sz w:val="24"/>
          <w:szCs w:val="24"/>
          <w:lang w:val="zh-CN" w:eastAsia="zh-CN"/>
        </w:rPr>
        <w:t>要严格遵守《中华人民共和国律师法》、《中华人民共和国价格法》以及司法部《律师事务所管理办法》、《律师执业管理办法》、《基层法律服务所管理办法》、《基层法律服务工作者管理办法》、《关于进一步规范律师服务收费的意见》（司发通〔2021〕87号）</w:t>
      </w:r>
      <w:r>
        <w:rPr>
          <w:rFonts w:hint="eastAsia" w:ascii="仿宋" w:hAnsi="仿宋" w:eastAsia="仿宋" w:cs="Times New Roman"/>
          <w:color w:val="auto"/>
          <w:sz w:val="24"/>
          <w:szCs w:val="24"/>
          <w:lang w:val="en-US" w:eastAsia="zh-CN"/>
        </w:rPr>
        <w:t>等相关法律法规的规定。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（5）具体项目成交价格，根据采购人的法律服务项目工作量、工作难度、案件情况、所需额外服务成本等因素，结合各供应商公示的收费标准双方协商确定。但不得超出本次报价范围。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Cs w:val="0"/>
          <w:sz w:val="28"/>
          <w:szCs w:val="28"/>
          <w:highlight w:val="none"/>
          <w:lang w:val="zh-CN" w:eastAsia="zh-CN"/>
        </w:rPr>
      </w:pPr>
      <w:r>
        <w:rPr>
          <w:rFonts w:hint="eastAsia" w:ascii="仿宋" w:hAnsi="仿宋" w:eastAsia="仿宋" w:cs="Times New Roman"/>
          <w:color w:val="auto"/>
          <w:sz w:val="24"/>
          <w:szCs w:val="24"/>
          <w:lang w:val="en-US" w:eastAsia="zh-CN"/>
        </w:rPr>
        <w:t>（6）</w:t>
      </w:r>
      <w:r>
        <w:rPr>
          <w:rFonts w:hint="eastAsia" w:ascii="仿宋" w:hAnsi="仿宋" w:eastAsia="仿宋" w:cs="Times New Roman"/>
          <w:color w:val="auto"/>
          <w:sz w:val="24"/>
          <w:szCs w:val="24"/>
          <w:lang w:val="zh-CN" w:eastAsia="zh-CN"/>
        </w:rPr>
        <w:t>律师事务所</w:t>
      </w:r>
      <w:r>
        <w:rPr>
          <w:rFonts w:hint="eastAsia" w:ascii="仿宋" w:hAnsi="仿宋" w:eastAsia="仿宋" w:cs="Times New Roman"/>
          <w:color w:val="auto"/>
          <w:sz w:val="24"/>
          <w:szCs w:val="24"/>
          <w:lang w:val="en-US" w:eastAsia="zh-CN"/>
        </w:rPr>
        <w:t>应当遵守《律师服务收费管理办法》</w:t>
      </w:r>
      <w:r>
        <w:rPr>
          <w:rFonts w:hint="eastAsia" w:ascii="仿宋" w:hAnsi="仿宋" w:eastAsia="仿宋" w:cs="Times New Roman"/>
          <w:color w:val="auto"/>
          <w:sz w:val="24"/>
          <w:szCs w:val="24"/>
          <w:lang w:val="zh-CN" w:eastAsia="zh-CN"/>
        </w:rPr>
        <w:t>，加强对收费合同或者委托合同中收费条款的审核把关，除律师服务费、代委托人支付的费用、异地办案差旅费外，严禁以向司法人员、仲裁员疏通关系等为由收取所谓的“办案费”“顾问费”等任何其他费用。律师事务所在提供法律服务过程中代</w:t>
      </w:r>
      <w:r>
        <w:rPr>
          <w:rFonts w:hint="eastAsia" w:ascii="仿宋" w:hAnsi="仿宋" w:eastAsia="仿宋" w:cs="Times New Roman"/>
          <w:color w:val="auto"/>
          <w:sz w:val="24"/>
          <w:szCs w:val="24"/>
          <w:lang w:val="en-US" w:eastAsia="zh-CN"/>
        </w:rPr>
        <w:t>采购人</w:t>
      </w:r>
      <w:r>
        <w:rPr>
          <w:rFonts w:hint="eastAsia" w:ascii="仿宋" w:hAnsi="仿宋" w:eastAsia="仿宋" w:cs="Times New Roman"/>
          <w:color w:val="auto"/>
          <w:sz w:val="24"/>
          <w:szCs w:val="24"/>
          <w:lang w:val="zh-CN" w:eastAsia="zh-CN"/>
        </w:rPr>
        <w:t>支付的诉讼费、仲裁费、鉴定费、公证费、查档费、保全费、翻译费等费用，</w:t>
      </w:r>
      <w:r>
        <w:rPr>
          <w:rFonts w:hint="eastAsia" w:ascii="仿宋" w:hAnsi="仿宋" w:eastAsia="仿宋" w:cs="Times New Roman"/>
          <w:color w:val="auto"/>
          <w:sz w:val="24"/>
          <w:szCs w:val="24"/>
          <w:lang w:val="en-US" w:eastAsia="zh-CN"/>
        </w:rPr>
        <w:t>根据采购合同协商的方式支付，合同没有规定的，</w:t>
      </w:r>
      <w:r>
        <w:rPr>
          <w:rFonts w:hint="eastAsia" w:ascii="仿宋" w:hAnsi="仿宋" w:eastAsia="仿宋" w:cs="Times New Roman"/>
          <w:color w:val="auto"/>
          <w:sz w:val="24"/>
          <w:szCs w:val="24"/>
          <w:lang w:val="zh-CN" w:eastAsia="zh-CN"/>
        </w:rPr>
        <w:t>由</w:t>
      </w:r>
      <w:r>
        <w:rPr>
          <w:rFonts w:hint="eastAsia" w:ascii="仿宋" w:hAnsi="仿宋" w:eastAsia="仿宋" w:cs="Times New Roman"/>
          <w:color w:val="auto"/>
          <w:sz w:val="24"/>
          <w:szCs w:val="24"/>
          <w:lang w:val="en-US" w:eastAsia="zh-CN"/>
        </w:rPr>
        <w:t>采购人根据律所提供的有效证明据实另行</w:t>
      </w:r>
      <w:r>
        <w:rPr>
          <w:rFonts w:hint="eastAsia" w:ascii="仿宋" w:hAnsi="仿宋" w:eastAsia="仿宋" w:cs="Times New Roman"/>
          <w:color w:val="auto"/>
          <w:sz w:val="24"/>
          <w:szCs w:val="24"/>
          <w:lang w:val="zh-CN" w:eastAsia="zh-CN"/>
        </w:rPr>
        <w:t>支付。律师事务所应当向委托人提供律师服务收费清单，包括律师服务费、代委托人支付的费用以及异地办案差旅费，其中代委托人支付的费用及异地办案差旅费应当提供有效凭证。</w:t>
      </w:r>
    </w:p>
    <w:p>
      <w:pPr>
        <w:pStyle w:val="4"/>
        <w:numPr>
          <w:ilvl w:val="0"/>
          <w:numId w:val="2"/>
        </w:numPr>
        <w:spacing w:line="360" w:lineRule="auto"/>
        <w:ind w:left="616" w:hanging="616"/>
        <w:jc w:val="left"/>
        <w:rPr>
          <w:rFonts w:hint="eastAsia" w:ascii="仿宋" w:hAnsi="仿宋" w:eastAsia="仿宋"/>
          <w:bCs w:val="0"/>
          <w:sz w:val="28"/>
          <w:szCs w:val="28"/>
          <w:highlight w:val="none"/>
          <w:lang w:val="zh-CN" w:eastAsia="zh-CN"/>
        </w:rPr>
      </w:pPr>
      <w:bookmarkStart w:id="38" w:name="_Toc1111"/>
      <w:bookmarkStart w:id="39" w:name="_Toc15159"/>
      <w:r>
        <w:rPr>
          <w:rFonts w:hint="eastAsia" w:ascii="仿宋" w:hAnsi="仿宋" w:eastAsia="仿宋" w:cs="Times New Roman"/>
          <w:bCs w:val="0"/>
          <w:sz w:val="28"/>
          <w:szCs w:val="28"/>
          <w:highlight w:val="none"/>
          <w:lang w:val="zh-CN" w:eastAsia="zh-CN"/>
        </w:rPr>
        <w:t>其他要求</w:t>
      </w:r>
      <w:bookmarkEnd w:id="38"/>
      <w:bookmarkEnd w:id="39"/>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1.供应商中标后需按照本章附件一的要求入驻鄂州市政府采购框架协议电子平台。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2.供应商须提供拟投入法律服务团队的相关执业经验和业绩等相关证明材料。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3.供应商需提供拟投入团队人员的相关资料，内容包括并不限于人员数量、资格证明、执业年限、经历等内容。（提供文字说明以及相关证明资料复印件）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4.严格依据征集文件要求和响应文件的承诺，向各级单位提供服务。不实行任何形式的不合理限制，提出任何附加条款。全面履行投标承诺，圆满完成各级单位的相关服务工作，确保质量，提供快捷、方便、满意的服务。</w:t>
      </w:r>
    </w:p>
    <w:p>
      <w:pPr>
        <w:rPr>
          <w:rFonts w:hint="eastAsia"/>
          <w:lang w:val="en-US" w:eastAsia="zh-CN"/>
        </w:rPr>
      </w:pPr>
      <w:r>
        <w:rPr>
          <w:rFonts w:hint="eastAsia"/>
          <w:lang w:val="en-US" w:eastAsia="zh-CN"/>
        </w:rPr>
        <w:br w:type="page"/>
      </w:r>
    </w:p>
    <w:p>
      <w:pPr>
        <w:numPr>
          <w:ilvl w:val="0"/>
          <w:numId w:val="0"/>
        </w:num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第三章  确定入围及成交供应商</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hint="default" w:ascii="仿宋" w:hAnsi="仿宋" w:eastAsia="仿宋" w:cs="仿宋"/>
          <w:bCs/>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jc w:val="both"/>
        <w:rPr>
          <w:rFonts w:hint="default" w:ascii="华文仿宋" w:hAnsi="华文仿宋" w:eastAsia="华文仿宋" w:cs="Times New Roman"/>
          <w:sz w:val="24"/>
          <w:szCs w:val="24"/>
        </w:rPr>
      </w:pPr>
      <w:r>
        <w:rPr>
          <w:rFonts w:hint="default" w:ascii="仿宋" w:hAnsi="仿宋" w:eastAsia="仿宋" w:cs="仿宋"/>
          <w:bCs/>
          <w:sz w:val="24"/>
          <w:szCs w:val="24"/>
          <w:lang w:eastAsia="zh-CN"/>
        </w:rPr>
        <w:t xml:space="preserve">    </w:t>
      </w:r>
      <w:r>
        <w:rPr>
          <w:rFonts w:hint="default" w:ascii="仿宋" w:hAnsi="仿宋" w:eastAsia="仿宋" w:cs="仿宋"/>
          <w:bCs/>
          <w:sz w:val="24"/>
          <w:szCs w:val="24"/>
          <w:lang w:val="en-US" w:eastAsia="zh-CN"/>
        </w:rPr>
        <w:t>1.</w:t>
      </w:r>
      <w:r>
        <w:rPr>
          <w:rStyle w:val="15"/>
          <w:rFonts w:hint="default" w:ascii="华文仿宋" w:hAnsi="华文仿宋" w:eastAsia="华文仿宋" w:cs="华文仿宋"/>
          <w:kern w:val="2"/>
          <w:sz w:val="24"/>
          <w:szCs w:val="24"/>
          <w:lang w:val="en-US" w:eastAsia="zh-CN" w:bidi="ar"/>
        </w:rPr>
        <w:t>确定第二阶段成交供应商的方式为直接选定和二次竞价。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5"/>
          <w:rFonts w:hint="default" w:ascii="华文仿宋" w:hAnsi="华文仿宋" w:eastAsia="华文仿宋" w:cs="华文仿宋"/>
          <w:b/>
          <w:bCs/>
          <w:kern w:val="2"/>
          <w:sz w:val="24"/>
          <w:szCs w:val="24"/>
          <w:u w:val="none"/>
          <w:lang w:eastAsia="zh-CN" w:bidi="ar"/>
        </w:rPr>
        <w:t xml:space="preserve">    </w:t>
      </w:r>
      <w:r>
        <w:rPr>
          <w:rStyle w:val="15"/>
          <w:rFonts w:hint="default" w:ascii="华文仿宋" w:hAnsi="华文仿宋" w:eastAsia="华文仿宋" w:cs="华文仿宋"/>
          <w:b/>
          <w:bCs/>
          <w:kern w:val="2"/>
          <w:sz w:val="24"/>
          <w:szCs w:val="24"/>
          <w:u w:val="single"/>
          <w:lang w:val="en-US" w:eastAsia="zh-CN" w:bidi="ar"/>
        </w:rPr>
        <w:t>直接选定</w:t>
      </w:r>
      <w:r>
        <w:rPr>
          <w:rStyle w:val="15"/>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5"/>
          <w:rFonts w:hint="default" w:ascii="华文仿宋" w:hAnsi="华文仿宋" w:eastAsia="华文仿宋" w:cs="华文仿宋"/>
          <w:b/>
          <w:bCs/>
          <w:kern w:val="2"/>
          <w:sz w:val="24"/>
          <w:szCs w:val="24"/>
          <w:u w:val="none"/>
          <w:lang w:eastAsia="zh-CN" w:bidi="ar"/>
        </w:rPr>
        <w:t xml:space="preserve">    </w:t>
      </w:r>
      <w:r>
        <w:rPr>
          <w:rStyle w:val="15"/>
          <w:rFonts w:hint="default" w:ascii="华文仿宋" w:hAnsi="华文仿宋" w:eastAsia="华文仿宋" w:cs="华文仿宋"/>
          <w:b/>
          <w:bCs/>
          <w:kern w:val="2"/>
          <w:sz w:val="24"/>
          <w:szCs w:val="24"/>
          <w:u w:val="single"/>
          <w:lang w:val="en-US" w:eastAsia="zh-CN" w:bidi="ar"/>
        </w:rPr>
        <w:t>二次竞价</w:t>
      </w:r>
      <w:r>
        <w:rPr>
          <w:rStyle w:val="15"/>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6A41AC"/>
    <w:multiLevelType w:val="singleLevel"/>
    <w:tmpl w:val="296A41AC"/>
    <w:lvl w:ilvl="0" w:tentative="0">
      <w:start w:val="1"/>
      <w:numFmt w:val="chineseCounting"/>
      <w:suff w:val="space"/>
      <w:lvlText w:val="第%1章"/>
      <w:lvlJc w:val="left"/>
      <w:pPr>
        <w:ind w:left="-495"/>
      </w:pPr>
      <w:rPr>
        <w:rFonts w:hint="eastAsia"/>
      </w:rPr>
    </w:lvl>
  </w:abstractNum>
  <w:abstractNum w:abstractNumId="1">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1E470295"/>
    <w:rsid w:val="01CA3975"/>
    <w:rsid w:val="0B6A5022"/>
    <w:rsid w:val="10E4556A"/>
    <w:rsid w:val="16FC436D"/>
    <w:rsid w:val="1E470295"/>
    <w:rsid w:val="21C97D3E"/>
    <w:rsid w:val="23192C88"/>
    <w:rsid w:val="26FA6F2B"/>
    <w:rsid w:val="27DA77FA"/>
    <w:rsid w:val="31FD48D3"/>
    <w:rsid w:val="36DDA3BF"/>
    <w:rsid w:val="375E56C1"/>
    <w:rsid w:val="47E63BB0"/>
    <w:rsid w:val="530F7987"/>
    <w:rsid w:val="5CBF02A5"/>
    <w:rsid w:val="5E137134"/>
    <w:rsid w:val="61B07461"/>
    <w:rsid w:val="64F3A698"/>
    <w:rsid w:val="6A735F3A"/>
    <w:rsid w:val="6B536650"/>
    <w:rsid w:val="722E3BCA"/>
    <w:rsid w:val="74FE5F2F"/>
    <w:rsid w:val="7A2D3222"/>
    <w:rsid w:val="7A7A50E2"/>
    <w:rsid w:val="DE59E276"/>
    <w:rsid w:val="FDB700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3">
    <w:name w:val="fontstyle21"/>
    <w:basedOn w:val="10"/>
    <w:qFormat/>
    <w:uiPriority w:val="0"/>
    <w:rPr>
      <w:rFonts w:hint="eastAsia" w:ascii="华文仿宋" w:hAnsi="华文仿宋" w:eastAsia="华文仿宋"/>
      <w:color w:val="000000"/>
      <w:sz w:val="28"/>
      <w:szCs w:val="28"/>
    </w:rPr>
  </w:style>
  <w:style w:type="character" w:customStyle="1" w:styleId="14">
    <w:name w:val="10"/>
    <w:basedOn w:val="10"/>
    <w:qFormat/>
    <w:uiPriority w:val="0"/>
    <w:rPr>
      <w:rFonts w:hint="default" w:ascii="Calibri" w:hAnsi="Calibri" w:cs="Calibri"/>
    </w:rPr>
  </w:style>
  <w:style w:type="character" w:customStyle="1" w:styleId="15">
    <w:name w:val="15"/>
    <w:basedOn w:val="10"/>
    <w:qFormat/>
    <w:uiPriority w:val="0"/>
    <w:rPr>
      <w:rFonts w:hint="default" w:ascii="华文仿宋" w:hAnsi="华文仿宋" w:eastAsia="华文仿宋" w:cs="华文仿宋"/>
      <w:color w:val="000000"/>
      <w:sz w:val="28"/>
      <w:szCs w:val="28"/>
    </w:rPr>
  </w:style>
  <w:style w:type="character" w:customStyle="1" w:styleId="16">
    <w:name w:val="17"/>
    <w:basedOn w:val="10"/>
    <w:qFormat/>
    <w:uiPriority w:val="0"/>
    <w:rPr>
      <w:rFonts w:hint="default" w:ascii="华文仿宋" w:hAnsi="华文仿宋" w:eastAsia="华文仿宋" w:cs="Times New Roman"/>
    </w:rPr>
  </w:style>
  <w:style w:type="character" w:customStyle="1" w:styleId="17">
    <w:name w:val="16"/>
    <w:basedOn w:val="10"/>
    <w:qFormat/>
    <w:uiPriority w:val="0"/>
    <w:rPr>
      <w:rFonts w:hint="default" w:ascii="华文仿宋" w:hAnsi="华文仿宋" w:eastAsia="华文仿宋" w:cs="华文仿宋"/>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4273</Words>
  <Characters>4426</Characters>
  <Lines>1</Lines>
  <Paragraphs>1</Paragraphs>
  <TotalTime>0</TotalTime>
  <ScaleCrop>false</ScaleCrop>
  <LinksUpToDate>false</LinksUpToDate>
  <CharactersWithSpaces>4442</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2023-09-26T18:00:00Z</dcterms:created>
  <dc:creator>NS</dc:creator>
  <cp:lastModifiedBy>胡靖</cp:lastModifiedBy>
  <dcterms:modified xsi:type="dcterms:W3CDTF">2023-12-12T09:00:24Z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6BBEE43FDB724A4990190EFAE7DE31A7</vt:lpwstr>
  </property>
</Properties>
</file>