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before="240" w:after="120"/>
        <w:ind w:leftChars="-200"/>
        <w:jc w:val="center"/>
        <w:outlineLvl w:val="0"/>
        <w:rPr>
          <w:rFonts w:hint="eastAsia" w:ascii="仿宋" w:hAnsi="仿宋" w:eastAsia="仿宋" w:cs="仿宋"/>
          <w:color w:val="auto"/>
          <w:sz w:val="32"/>
          <w:szCs w:val="32"/>
          <w:lang w:val="en-US" w:eastAsia="zh-CN"/>
        </w:rPr>
      </w:pPr>
      <w:r>
        <w:rPr>
          <w:rFonts w:hint="eastAsia" w:ascii="黑体" w:hAnsi="黑体" w:eastAsia="黑体" w:cs="黑体"/>
          <w:b w:val="0"/>
          <w:bCs w:val="0"/>
          <w:color w:val="auto"/>
          <w:sz w:val="44"/>
          <w:szCs w:val="44"/>
          <w:lang w:val="en-US" w:eastAsia="zh-CN"/>
        </w:rPr>
        <w:t>投影仪框架协议采购需求</w:t>
      </w:r>
    </w:p>
    <w:p>
      <w:pPr>
        <w:pStyle w:val="3"/>
        <w:numPr>
          <w:ilvl w:val="0"/>
          <w:numId w:val="1"/>
        </w:numPr>
        <w:spacing w:before="240" w:after="120"/>
        <w:ind w:left="643" w:hanging="643" w:hangingChars="200"/>
        <w:jc w:val="center"/>
        <w:outlineLvl w:val="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资格要求</w:t>
      </w:r>
    </w:p>
    <w:p>
      <w:pPr>
        <w:widowControl/>
        <w:snapToGrid w:val="0"/>
        <w:spacing w:line="520" w:lineRule="exac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1.满足《中华人民共和国政府采购法》第二十二条规定，即：</w:t>
      </w:r>
    </w:p>
    <w:p>
      <w:pPr>
        <w:widowControl/>
        <w:snapToGrid w:val="0"/>
        <w:spacing w:line="520" w:lineRule="exac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（1）具有独立承担民事责任的能力；</w:t>
      </w:r>
    </w:p>
    <w:p>
      <w:pPr>
        <w:widowControl/>
        <w:snapToGrid w:val="0"/>
        <w:spacing w:line="520" w:lineRule="exac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（2）具有良好的商业信誉和健全的财务会计制度；</w:t>
      </w:r>
    </w:p>
    <w:p>
      <w:pPr>
        <w:widowControl/>
        <w:snapToGrid w:val="0"/>
        <w:spacing w:line="520" w:lineRule="exac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（3）具有履行合同所必需的设备和专业技术能力；</w:t>
      </w:r>
    </w:p>
    <w:p>
      <w:pPr>
        <w:widowControl/>
        <w:snapToGrid w:val="0"/>
        <w:spacing w:line="520" w:lineRule="exac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（4）有依法缴纳税收和社会保障资金的良好记录；</w:t>
      </w:r>
    </w:p>
    <w:p>
      <w:pPr>
        <w:widowControl/>
        <w:snapToGrid w:val="0"/>
        <w:spacing w:line="520" w:lineRule="exac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（5）参加政府采购活动前三年内，在经营活动中没有重大违法记录；</w:t>
      </w:r>
    </w:p>
    <w:p>
      <w:pPr>
        <w:widowControl/>
        <w:snapToGrid w:val="0"/>
        <w:spacing w:line="520" w:lineRule="exac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（6）法律、行政法规规定的其他条件。</w:t>
      </w:r>
    </w:p>
    <w:p>
      <w:pPr>
        <w:widowControl/>
        <w:snapToGrid w:val="0"/>
        <w:spacing w:line="520" w:lineRule="exac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2.单位负责人为同一人或者存在直接控股、管理关系的不同投标人，不得参加本项目同一合同项下的政府采购活动。</w:t>
      </w:r>
    </w:p>
    <w:p>
      <w:pPr>
        <w:widowControl/>
        <w:snapToGrid w:val="0"/>
        <w:spacing w:line="520" w:lineRule="exac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3.为本采购项目提供整体设计、规范编制或者项目管理、监理、检测等服务的，不得再参加本项目的其他招标采购活动。</w:t>
      </w:r>
    </w:p>
    <w:p>
      <w:pPr>
        <w:widowControl/>
        <w:snapToGrid w:val="0"/>
        <w:spacing w:line="520" w:lineRule="exac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4.未被列入失信被执行人、重大税收违法案件当事人名单，未被列入政府采购严重违法失信行为记录名单。</w:t>
      </w:r>
    </w:p>
    <w:p>
      <w:pPr>
        <w:widowControl/>
        <w:snapToGrid w:val="0"/>
        <w:spacing w:line="520" w:lineRule="exact"/>
        <w:ind w:firstLine="480" w:firstLineChars="200"/>
        <w:jc w:val="left"/>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rPr>
        <w:t>5.落实政府采购政策需满足的资格要求：</w:t>
      </w:r>
      <w:r>
        <w:rPr>
          <w:rFonts w:hint="eastAsia" w:ascii="仿宋" w:hAnsi="仿宋" w:eastAsia="仿宋" w:cs="仿宋"/>
          <w:bCs/>
          <w:sz w:val="24"/>
          <w:szCs w:val="24"/>
          <w:highlight w:val="none"/>
          <w:lang w:val="en-US" w:eastAsia="zh-CN"/>
        </w:rPr>
        <w:t>无</w:t>
      </w:r>
    </w:p>
    <w:p>
      <w:pPr>
        <w:widowControl/>
        <w:snapToGrid w:val="0"/>
        <w:spacing w:line="520" w:lineRule="exact"/>
        <w:ind w:firstLine="480" w:firstLineChars="200"/>
        <w:jc w:val="left"/>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rPr>
        <w:t>6.本项目的特定资格要求：</w:t>
      </w:r>
      <w:r>
        <w:rPr>
          <w:rFonts w:hint="eastAsia" w:ascii="仿宋" w:hAnsi="仿宋" w:eastAsia="仿宋" w:cs="仿宋"/>
          <w:bCs/>
          <w:sz w:val="24"/>
          <w:szCs w:val="24"/>
          <w:highlight w:val="none"/>
          <w:lang w:eastAsia="zh-CN"/>
        </w:rPr>
        <w:t>供应商必须是本项目产品的生产厂家或者生产厂家对本项目的唯一授权供应商。</w:t>
      </w:r>
      <w:r>
        <w:rPr>
          <w:rFonts w:hint="eastAsia" w:ascii="仿宋" w:hAnsi="仿宋" w:eastAsia="仿宋"/>
          <w:bCs/>
          <w:color w:val="auto"/>
          <w:sz w:val="24"/>
          <w:szCs w:val="24"/>
          <w:lang w:eastAsia="zh-CN"/>
        </w:rPr>
        <w:t>若生产厂家和授权供应商均参与投标，则授权供应商视为无效投标；若同一生产厂家授权多个供应商参与投标，则所有授权供应商均视为无效投标。</w:t>
      </w:r>
    </w:p>
    <w:p>
      <w:pP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br w:type="page"/>
      </w:r>
    </w:p>
    <w:p>
      <w:pPr>
        <w:pStyle w:val="3"/>
        <w:numPr>
          <w:ilvl w:val="0"/>
          <w:numId w:val="0"/>
        </w:numPr>
        <w:spacing w:before="240" w:after="120"/>
        <w:jc w:val="center"/>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第二章  项目技术要求</w:t>
      </w:r>
    </w:p>
    <w:p>
      <w:pPr>
        <w:pStyle w:val="4"/>
        <w:pageBreakBefore w:val="0"/>
        <w:widowControl w:val="0"/>
        <w:numPr>
          <w:ilvl w:val="0"/>
          <w:numId w:val="0"/>
        </w:numPr>
        <w:kinsoku/>
        <w:wordWrap/>
        <w:overflowPunct/>
        <w:topLinePunct w:val="0"/>
        <w:autoSpaceDE/>
        <w:autoSpaceDN/>
        <w:bidi w:val="0"/>
        <w:adjustRightInd/>
        <w:snapToGrid/>
        <w:spacing w:before="0" w:after="0" w:line="600" w:lineRule="exact"/>
        <w:ind w:leftChars="0" w:firstLine="562" w:firstLineChars="200"/>
        <w:jc w:val="left"/>
        <w:textAlignment w:val="auto"/>
        <w:rPr>
          <w:rFonts w:hint="eastAsia" w:ascii="仿宋" w:hAnsi="仿宋" w:eastAsia="仿宋" w:cs="仿宋"/>
          <w:b/>
          <w:bCs w:val="0"/>
          <w:sz w:val="28"/>
          <w:szCs w:val="28"/>
          <w:highlight w:val="none"/>
          <w:lang w:val="en-US" w:eastAsia="zh-CN"/>
        </w:rPr>
      </w:pPr>
      <w:bookmarkStart w:id="0" w:name="_Toc29713"/>
      <w:r>
        <w:rPr>
          <w:rFonts w:hint="eastAsia" w:ascii="仿宋" w:hAnsi="仿宋" w:eastAsia="仿宋" w:cs="仿宋"/>
          <w:b/>
          <w:bCs w:val="0"/>
          <w:sz w:val="28"/>
          <w:szCs w:val="28"/>
          <w:highlight w:val="none"/>
          <w:lang w:val="en-US" w:eastAsia="zh-CN"/>
        </w:rPr>
        <w:t>一、适用范围</w:t>
      </w:r>
      <w:bookmarkEnd w:id="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600" w:lineRule="exact"/>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1.鄂州市财政预算单位使用财政性资金多频次、小额度采购投影仪的活动。</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600" w:lineRule="exact"/>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2.适用框架协议的采购人：鄂州市各级预算单位。</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600" w:lineRule="exact"/>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3.框架协议的期限：2024年1月1日起至2024年12月31日止。</w:t>
      </w:r>
      <w:bookmarkStart w:id="11" w:name="_GoBack"/>
      <w:bookmarkEnd w:id="11"/>
    </w:p>
    <w:p>
      <w:pPr>
        <w:pStyle w:val="4"/>
        <w:pageBreakBefore w:val="0"/>
        <w:widowControl w:val="0"/>
        <w:numPr>
          <w:ilvl w:val="0"/>
          <w:numId w:val="0"/>
        </w:numPr>
        <w:kinsoku/>
        <w:wordWrap/>
        <w:overflowPunct/>
        <w:topLinePunct w:val="0"/>
        <w:autoSpaceDE/>
        <w:autoSpaceDN/>
        <w:bidi w:val="0"/>
        <w:adjustRightInd/>
        <w:snapToGrid/>
        <w:spacing w:before="0" w:after="0" w:line="600" w:lineRule="exact"/>
        <w:ind w:leftChars="0" w:firstLine="562" w:firstLineChars="200"/>
        <w:jc w:val="left"/>
        <w:textAlignment w:val="auto"/>
        <w:rPr>
          <w:rFonts w:hint="eastAsia" w:ascii="仿宋" w:hAnsi="仿宋" w:eastAsia="仿宋" w:cs="仿宋"/>
          <w:b/>
          <w:bCs w:val="0"/>
          <w:sz w:val="28"/>
          <w:szCs w:val="28"/>
          <w:highlight w:val="none"/>
          <w:lang w:val="en-US" w:eastAsia="zh-CN"/>
        </w:rPr>
      </w:pPr>
      <w:bookmarkStart w:id="1" w:name="_Toc2660"/>
      <w:r>
        <w:rPr>
          <w:rFonts w:hint="eastAsia" w:ascii="仿宋" w:hAnsi="仿宋" w:eastAsia="仿宋" w:cs="仿宋"/>
          <w:b/>
          <w:bCs w:val="0"/>
          <w:sz w:val="28"/>
          <w:szCs w:val="28"/>
          <w:highlight w:val="none"/>
          <w:lang w:val="en-US" w:eastAsia="zh-CN"/>
        </w:rPr>
        <w:t>二、采购内容</w:t>
      </w:r>
      <w:bookmarkEnd w:id="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600" w:lineRule="exact"/>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具体分包如下:</w:t>
      </w:r>
    </w:p>
    <w:tbl>
      <w:tblPr>
        <w:tblStyle w:val="8"/>
        <w:tblW w:w="484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1574"/>
        <w:gridCol w:w="1635"/>
        <w:gridCol w:w="2261"/>
        <w:gridCol w:w="19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3" w:type="pct"/>
            <w:noWrap w:val="0"/>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4"/>
                <w:szCs w:val="24"/>
                <w:highlight w:val="none"/>
                <w:u w:val="none"/>
                <w:lang w:val="en-US" w:eastAsia="zh-CN" w:bidi="ar"/>
              </w:rPr>
            </w:pPr>
            <w:bookmarkStart w:id="2" w:name="_Hlk104899054"/>
            <w:r>
              <w:rPr>
                <w:rFonts w:hint="eastAsia" w:ascii="仿宋" w:hAnsi="仿宋" w:eastAsia="仿宋" w:cs="仿宋"/>
                <w:b w:val="0"/>
                <w:bCs/>
                <w:i w:val="0"/>
                <w:color w:val="000000"/>
                <w:kern w:val="0"/>
                <w:sz w:val="24"/>
                <w:szCs w:val="24"/>
                <w:highlight w:val="none"/>
                <w:u w:val="none"/>
                <w:lang w:val="en-US" w:eastAsia="zh-CN" w:bidi="ar"/>
              </w:rPr>
              <w:t>分包</w:t>
            </w:r>
          </w:p>
        </w:tc>
        <w:tc>
          <w:tcPr>
            <w:tcW w:w="954" w:type="pct"/>
            <w:noWrap w:val="0"/>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4"/>
                <w:szCs w:val="24"/>
                <w:highlight w:val="none"/>
                <w:u w:val="none"/>
                <w:lang w:val="en-US" w:eastAsia="zh-CN" w:bidi="ar"/>
              </w:rPr>
            </w:pPr>
            <w:r>
              <w:rPr>
                <w:rFonts w:hint="eastAsia" w:ascii="仿宋" w:hAnsi="仿宋" w:eastAsia="仿宋" w:cs="仿宋"/>
                <w:b w:val="0"/>
                <w:bCs/>
                <w:i w:val="0"/>
                <w:color w:val="000000"/>
                <w:kern w:val="0"/>
                <w:sz w:val="24"/>
                <w:szCs w:val="24"/>
                <w:highlight w:val="none"/>
                <w:u w:val="none"/>
                <w:lang w:val="en-US" w:eastAsia="zh-CN" w:bidi="ar"/>
              </w:rPr>
              <w:t>亮度</w:t>
            </w:r>
          </w:p>
        </w:tc>
        <w:tc>
          <w:tcPr>
            <w:tcW w:w="990" w:type="pct"/>
            <w:noWrap w:val="0"/>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4"/>
                <w:szCs w:val="24"/>
                <w:highlight w:val="none"/>
                <w:u w:val="none"/>
                <w:lang w:val="en-US" w:eastAsia="zh-CN" w:bidi="ar"/>
              </w:rPr>
            </w:pPr>
            <w:r>
              <w:rPr>
                <w:rFonts w:hint="eastAsia" w:ascii="仿宋" w:hAnsi="仿宋" w:eastAsia="仿宋" w:cs="仿宋"/>
                <w:b w:val="0"/>
                <w:bCs/>
                <w:i w:val="0"/>
                <w:color w:val="000000"/>
                <w:kern w:val="0"/>
                <w:sz w:val="24"/>
                <w:szCs w:val="24"/>
                <w:highlight w:val="none"/>
                <w:u w:val="none"/>
                <w:lang w:val="en-US" w:eastAsia="zh-CN" w:bidi="ar"/>
              </w:rPr>
              <w:t>分辨率</w:t>
            </w:r>
          </w:p>
        </w:tc>
        <w:tc>
          <w:tcPr>
            <w:tcW w:w="1369" w:type="pct"/>
            <w:noWrap w:val="0"/>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4"/>
                <w:szCs w:val="24"/>
                <w:highlight w:val="none"/>
                <w:u w:val="none"/>
                <w:lang w:val="en-US" w:eastAsia="zh-CN" w:bidi="ar"/>
              </w:rPr>
            </w:pPr>
            <w:bookmarkStart w:id="3" w:name="OLE_LINK116"/>
            <w:bookmarkStart w:id="4" w:name="OLE_LINK115"/>
            <w:r>
              <w:rPr>
                <w:rFonts w:hint="eastAsia" w:ascii="仿宋" w:hAnsi="仿宋" w:eastAsia="仿宋" w:cs="仿宋"/>
                <w:b w:val="0"/>
                <w:bCs/>
                <w:i w:val="0"/>
                <w:color w:val="000000"/>
                <w:kern w:val="0"/>
                <w:sz w:val="24"/>
                <w:szCs w:val="24"/>
                <w:highlight w:val="none"/>
                <w:u w:val="none"/>
                <w:lang w:val="en-US" w:eastAsia="zh-CN" w:bidi="ar"/>
              </w:rPr>
              <w:t>电源电压</w:t>
            </w:r>
          </w:p>
        </w:tc>
        <w:tc>
          <w:tcPr>
            <w:tcW w:w="1161" w:type="pct"/>
            <w:noWrap w:val="0"/>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4"/>
                <w:szCs w:val="24"/>
                <w:highlight w:val="none"/>
                <w:u w:val="none"/>
                <w:lang w:val="en-US" w:eastAsia="zh-CN" w:bidi="ar"/>
              </w:rPr>
            </w:pPr>
            <w:r>
              <w:rPr>
                <w:rFonts w:hint="eastAsia" w:ascii="仿宋" w:hAnsi="仿宋" w:eastAsia="仿宋" w:cs="仿宋"/>
                <w:b w:val="0"/>
                <w:bCs/>
                <w:i w:val="0"/>
                <w:color w:val="000000"/>
                <w:kern w:val="0"/>
                <w:sz w:val="24"/>
                <w:szCs w:val="24"/>
                <w:highlight w:val="none"/>
                <w:u w:val="none"/>
                <w:lang w:val="en-US" w:eastAsia="zh-CN" w:bidi="ar"/>
              </w:rPr>
              <w:t>整机最高限价（万元）</w:t>
            </w:r>
            <w:bookmarkEnd w:id="3"/>
            <w:bookmarkEnd w:id="4"/>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523" w:type="pct"/>
            <w:noWrap w:val="0"/>
            <w:vAlign w:val="center"/>
          </w:tcPr>
          <w:p>
            <w:pPr>
              <w:widowControl/>
              <w:jc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val="en-US" w:eastAsia="zh-CN"/>
              </w:rPr>
              <w:t>1</w:t>
            </w:r>
          </w:p>
        </w:tc>
        <w:tc>
          <w:tcPr>
            <w:tcW w:w="954" w:type="pct"/>
            <w:noWrap w:val="0"/>
            <w:vAlign w:val="center"/>
          </w:tcPr>
          <w:p>
            <w:pPr>
              <w:keepNext w:val="0"/>
              <w:keepLines w:val="0"/>
              <w:widowControl/>
              <w:suppressLineNumbers w:val="0"/>
              <w:jc w:val="both"/>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≥3000流明</w:t>
            </w:r>
          </w:p>
        </w:tc>
        <w:tc>
          <w:tcPr>
            <w:tcW w:w="990" w:type="pct"/>
            <w:noWrap w:val="0"/>
            <w:vAlign w:val="center"/>
          </w:tcPr>
          <w:p>
            <w:pPr>
              <w:keepNext w:val="0"/>
              <w:keepLines w:val="0"/>
              <w:widowControl/>
              <w:suppressLineNumbers w:val="0"/>
              <w:jc w:val="both"/>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≥800*600</w:t>
            </w:r>
          </w:p>
        </w:tc>
        <w:tc>
          <w:tcPr>
            <w:tcW w:w="1369" w:type="pct"/>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sz w:val="24"/>
                <w:szCs w:val="24"/>
              </w:rPr>
              <w:t>≥100-240V AC+/- 10%,50/60Hz。</w:t>
            </w:r>
          </w:p>
        </w:tc>
        <w:tc>
          <w:tcPr>
            <w:tcW w:w="1161" w:type="pct"/>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3" w:type="pct"/>
            <w:noWrap w:val="0"/>
            <w:vAlign w:val="center"/>
          </w:tcPr>
          <w:p>
            <w:pPr>
              <w:widowControl/>
              <w:jc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val="en-US" w:eastAsia="zh-CN"/>
              </w:rPr>
              <w:t>2</w:t>
            </w:r>
          </w:p>
        </w:tc>
        <w:tc>
          <w:tcPr>
            <w:tcW w:w="954" w:type="pct"/>
            <w:noWrap w:val="0"/>
            <w:vAlign w:val="center"/>
          </w:tcPr>
          <w:p>
            <w:pPr>
              <w:keepNext w:val="0"/>
              <w:keepLines w:val="0"/>
              <w:widowControl/>
              <w:suppressLineNumbers w:val="0"/>
              <w:jc w:val="both"/>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≥3500流明</w:t>
            </w:r>
          </w:p>
        </w:tc>
        <w:tc>
          <w:tcPr>
            <w:tcW w:w="990" w:type="pct"/>
            <w:noWrap w:val="0"/>
            <w:vAlign w:val="center"/>
          </w:tcPr>
          <w:p>
            <w:pPr>
              <w:keepNext w:val="0"/>
              <w:keepLines w:val="0"/>
              <w:widowControl/>
              <w:suppressLineNumbers w:val="0"/>
              <w:jc w:val="both"/>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≥1024*768</w:t>
            </w:r>
          </w:p>
        </w:tc>
        <w:tc>
          <w:tcPr>
            <w:tcW w:w="1369" w:type="pct"/>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sz w:val="24"/>
                <w:szCs w:val="24"/>
              </w:rPr>
              <w:t>≥100-240V AC+/- 10%,50/60Hz。</w:t>
            </w:r>
          </w:p>
        </w:tc>
        <w:tc>
          <w:tcPr>
            <w:tcW w:w="1161" w:type="pct"/>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3" w:type="pct"/>
            <w:noWrap w:val="0"/>
            <w:vAlign w:val="center"/>
          </w:tcPr>
          <w:p>
            <w:pPr>
              <w:widowControl/>
              <w:jc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val="en-US" w:eastAsia="zh-CN"/>
              </w:rPr>
              <w:t>3</w:t>
            </w:r>
          </w:p>
        </w:tc>
        <w:tc>
          <w:tcPr>
            <w:tcW w:w="954" w:type="pct"/>
            <w:noWrap w:val="0"/>
            <w:vAlign w:val="center"/>
          </w:tcPr>
          <w:p>
            <w:pPr>
              <w:keepNext w:val="0"/>
              <w:keepLines w:val="0"/>
              <w:widowControl/>
              <w:suppressLineNumbers w:val="0"/>
              <w:jc w:val="both"/>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≥4000流明</w:t>
            </w:r>
          </w:p>
        </w:tc>
        <w:tc>
          <w:tcPr>
            <w:tcW w:w="990" w:type="pct"/>
            <w:noWrap w:val="0"/>
            <w:vAlign w:val="center"/>
          </w:tcPr>
          <w:p>
            <w:pPr>
              <w:keepNext w:val="0"/>
              <w:keepLines w:val="0"/>
              <w:widowControl/>
              <w:suppressLineNumbers w:val="0"/>
              <w:jc w:val="both"/>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≥1280*800</w:t>
            </w:r>
          </w:p>
        </w:tc>
        <w:tc>
          <w:tcPr>
            <w:tcW w:w="1369" w:type="pct"/>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sz w:val="24"/>
                <w:szCs w:val="24"/>
              </w:rPr>
              <w:t>≥100-240V AC+/- 10%,50/60Hz。</w:t>
            </w:r>
          </w:p>
        </w:tc>
        <w:tc>
          <w:tcPr>
            <w:tcW w:w="1161" w:type="pct"/>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3" w:type="pct"/>
            <w:noWrap w:val="0"/>
            <w:vAlign w:val="center"/>
          </w:tcPr>
          <w:p>
            <w:pPr>
              <w:widowControl/>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w:t>
            </w:r>
          </w:p>
        </w:tc>
        <w:tc>
          <w:tcPr>
            <w:tcW w:w="954" w:type="pct"/>
            <w:noWrap w:val="0"/>
            <w:vAlign w:val="center"/>
          </w:tcPr>
          <w:p>
            <w:pPr>
              <w:keepNext w:val="0"/>
              <w:keepLines w:val="0"/>
              <w:widowControl/>
              <w:suppressLineNumbers w:val="0"/>
              <w:jc w:val="both"/>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sz w:val="24"/>
                <w:szCs w:val="24"/>
                <w:lang w:val="en-US" w:eastAsia="zh-CN"/>
              </w:rPr>
              <w:t>≥</w:t>
            </w:r>
            <w:r>
              <w:rPr>
                <w:rFonts w:hint="eastAsia" w:ascii="仿宋" w:hAnsi="仿宋" w:eastAsia="仿宋" w:cs="仿宋"/>
                <w:sz w:val="24"/>
                <w:szCs w:val="24"/>
              </w:rPr>
              <w:t>400</w:t>
            </w:r>
            <w:r>
              <w:rPr>
                <w:rFonts w:hint="eastAsia" w:ascii="仿宋" w:hAnsi="仿宋" w:eastAsia="仿宋" w:cs="仿宋"/>
                <w:sz w:val="24"/>
                <w:szCs w:val="24"/>
                <w:lang w:val="en-US" w:eastAsia="zh-CN"/>
              </w:rPr>
              <w:t>0</w:t>
            </w:r>
            <w:r>
              <w:rPr>
                <w:rFonts w:hint="eastAsia" w:ascii="仿宋" w:hAnsi="仿宋" w:eastAsia="仿宋" w:cs="仿宋"/>
                <w:sz w:val="24"/>
                <w:szCs w:val="24"/>
              </w:rPr>
              <w:t>流明</w:t>
            </w:r>
          </w:p>
        </w:tc>
        <w:tc>
          <w:tcPr>
            <w:tcW w:w="990" w:type="pct"/>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≥1920*1080</w:t>
            </w:r>
          </w:p>
        </w:tc>
        <w:tc>
          <w:tcPr>
            <w:tcW w:w="1369" w:type="pct"/>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sz w:val="24"/>
                <w:szCs w:val="24"/>
              </w:rPr>
              <w:t>≥100-240V AC+/- 10%,50/60Hz。</w:t>
            </w:r>
          </w:p>
        </w:tc>
        <w:tc>
          <w:tcPr>
            <w:tcW w:w="1161" w:type="pct"/>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w:t>
            </w:r>
          </w:p>
        </w:tc>
      </w:tr>
    </w:tbl>
    <w:p>
      <w:pPr>
        <w:rPr>
          <w:rFonts w:hint="eastAsia" w:ascii="仿宋" w:hAnsi="仿宋" w:eastAsia="仿宋" w:cs="仿宋"/>
          <w:sz w:val="24"/>
          <w:szCs w:val="24"/>
          <w:lang w:val="en-US" w:eastAsia="zh-CN"/>
        </w:rPr>
      </w:pPr>
    </w:p>
    <w:p>
      <w:pPr>
        <w:pStyle w:val="4"/>
        <w:pageBreakBefore w:val="0"/>
        <w:widowControl w:val="0"/>
        <w:numPr>
          <w:ilvl w:val="0"/>
          <w:numId w:val="0"/>
        </w:numPr>
        <w:kinsoku/>
        <w:wordWrap/>
        <w:overflowPunct/>
        <w:topLinePunct w:val="0"/>
        <w:autoSpaceDE/>
        <w:autoSpaceDN/>
        <w:bidi w:val="0"/>
        <w:adjustRightInd/>
        <w:snapToGrid/>
        <w:spacing w:before="0" w:after="0" w:line="600" w:lineRule="exact"/>
        <w:ind w:leftChars="0" w:firstLine="562" w:firstLineChars="200"/>
        <w:jc w:val="left"/>
        <w:textAlignment w:val="auto"/>
        <w:rPr>
          <w:rFonts w:hint="eastAsia" w:ascii="仿宋" w:hAnsi="仿宋" w:eastAsia="仿宋" w:cs="仿宋"/>
          <w:b/>
          <w:bCs w:val="0"/>
          <w:sz w:val="28"/>
          <w:szCs w:val="28"/>
          <w:highlight w:val="none"/>
          <w:lang w:val="en-US" w:eastAsia="zh-CN"/>
        </w:rPr>
      </w:pPr>
      <w:bookmarkStart w:id="5" w:name="_Toc22561"/>
      <w:r>
        <w:rPr>
          <w:rFonts w:hint="eastAsia" w:ascii="仿宋" w:hAnsi="仿宋" w:eastAsia="仿宋" w:cs="仿宋"/>
          <w:b/>
          <w:bCs w:val="0"/>
          <w:sz w:val="28"/>
          <w:szCs w:val="28"/>
          <w:highlight w:val="none"/>
          <w:lang w:val="en-US" w:eastAsia="zh-CN"/>
        </w:rPr>
        <w:t>三、价格确定</w:t>
      </w:r>
      <w:bookmarkEnd w:id="5"/>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（一）协议价格</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600" w:lineRule="exact"/>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投影仪第一阶段的协议价格为供应商的响应报价，该价格为采购人确定第二阶段成交供应商的最高限价。</w:t>
      </w:r>
      <w:r>
        <w:rPr>
          <w:rFonts w:hint="eastAsia" w:ascii="仿宋" w:hAnsi="仿宋" w:eastAsia="仿宋" w:cs="仿宋"/>
          <w:b w:val="0"/>
          <w:bCs/>
          <w:color w:val="000000" w:themeColor="text1"/>
          <w:sz w:val="24"/>
          <w:szCs w:val="24"/>
          <w:highlight w:val="none"/>
          <w:lang w:val="en-US" w:eastAsia="zh-CN"/>
          <w14:textFill>
            <w14:solidFill>
              <w14:schemeClr w14:val="tx1"/>
            </w14:solidFill>
          </w14:textFill>
        </w:rPr>
        <w:t>本次报价应为包干价。</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600" w:lineRule="exact"/>
        <w:textAlignment w:val="auto"/>
        <w:rPr>
          <w:rFonts w:hint="eastAsia" w:ascii="仿宋" w:hAnsi="仿宋" w:eastAsia="仿宋" w:cs="仿宋"/>
          <w:b/>
          <w:bCs w:val="0"/>
          <w:color w:val="FF0000"/>
          <w:sz w:val="24"/>
          <w:szCs w:val="24"/>
          <w:highlight w:val="none"/>
          <w:lang w:val="en-US" w:eastAsia="zh-CN"/>
        </w:rPr>
      </w:pPr>
      <w:r>
        <w:rPr>
          <w:rFonts w:hint="eastAsia" w:ascii="仿宋" w:hAnsi="仿宋" w:eastAsia="仿宋" w:cs="仿宋"/>
          <w:bCs/>
          <w:sz w:val="24"/>
          <w:szCs w:val="24"/>
          <w:highlight w:val="none"/>
          <w:lang w:val="en-US" w:eastAsia="zh-CN"/>
        </w:rPr>
        <w:t>每个响应供应商根据分包要求，每个分包只能提交一款投影仪进行响应，响应报价均为政策补贴后价格，</w:t>
      </w:r>
      <w:r>
        <w:rPr>
          <w:rFonts w:hint="eastAsia" w:ascii="仿宋" w:hAnsi="仿宋" w:eastAsia="仿宋" w:cs="仿宋"/>
          <w:b/>
          <w:bCs w:val="0"/>
          <w:color w:val="FF0000"/>
          <w:sz w:val="24"/>
          <w:szCs w:val="24"/>
          <w:highlight w:val="none"/>
          <w:lang w:val="en-US" w:eastAsia="zh-CN"/>
        </w:rPr>
        <w:t>须包含正品投影仪、正品遥控器、电源线，不包含幕布价格。</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600" w:lineRule="exact"/>
        <w:textAlignment w:val="auto"/>
        <w:rPr>
          <w:rFonts w:hint="eastAsia" w:ascii="仿宋" w:hAnsi="仿宋" w:eastAsia="仿宋" w:cs="仿宋"/>
          <w:b/>
          <w:bCs w:val="0"/>
          <w:color w:val="FF0000"/>
          <w:sz w:val="24"/>
          <w:szCs w:val="24"/>
          <w:highlight w:val="none"/>
          <w:lang w:val="en-US" w:eastAsia="zh-CN"/>
        </w:rPr>
      </w:pPr>
      <w:r>
        <w:rPr>
          <w:rFonts w:hint="eastAsia" w:ascii="仿宋" w:hAnsi="仿宋" w:eastAsia="仿宋" w:cs="仿宋"/>
          <w:b/>
          <w:bCs w:val="0"/>
          <w:color w:val="FF0000"/>
          <w:sz w:val="24"/>
          <w:szCs w:val="24"/>
          <w:highlight w:val="none"/>
          <w:lang w:val="en-US" w:eastAsia="zh-CN"/>
        </w:rPr>
        <w:t>注：各供应商须单独对投影仪配套使用的幕布进行报价，并承诺入围后与采购人进行交易时价格不高于该报价。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（二）成交价格</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600" w:lineRule="exact"/>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第一阶段形成的协议价格为第二阶段成交价格的最高限价，采购人可与入围供应商就价格、服务等方面内容进行协商，以获得更大优惠。</w:t>
      </w:r>
    </w:p>
    <w:p>
      <w:pPr>
        <w:pStyle w:val="4"/>
        <w:pageBreakBefore w:val="0"/>
        <w:widowControl w:val="0"/>
        <w:numPr>
          <w:ilvl w:val="0"/>
          <w:numId w:val="0"/>
        </w:numPr>
        <w:kinsoku/>
        <w:wordWrap/>
        <w:overflowPunct/>
        <w:topLinePunct w:val="0"/>
        <w:autoSpaceDE/>
        <w:autoSpaceDN/>
        <w:bidi w:val="0"/>
        <w:adjustRightInd/>
        <w:snapToGrid/>
        <w:spacing w:before="0" w:after="0" w:line="600" w:lineRule="exact"/>
        <w:ind w:leftChars="0" w:firstLine="562" w:firstLineChars="200"/>
        <w:jc w:val="left"/>
        <w:textAlignment w:val="auto"/>
        <w:rPr>
          <w:rFonts w:hint="eastAsia" w:ascii="仿宋" w:hAnsi="仿宋" w:eastAsia="仿宋" w:cs="仿宋"/>
          <w:b/>
          <w:bCs w:val="0"/>
          <w:sz w:val="28"/>
          <w:szCs w:val="28"/>
          <w:highlight w:val="none"/>
          <w:lang w:val="en-US" w:eastAsia="zh-CN"/>
        </w:rPr>
      </w:pPr>
      <w:bookmarkStart w:id="6" w:name="_Toc14009"/>
      <w:r>
        <w:rPr>
          <w:rFonts w:hint="eastAsia" w:ascii="仿宋" w:hAnsi="仿宋" w:eastAsia="仿宋" w:cs="仿宋"/>
          <w:b/>
          <w:bCs w:val="0"/>
          <w:sz w:val="28"/>
          <w:szCs w:val="28"/>
          <w:highlight w:val="none"/>
          <w:lang w:val="en-US" w:eastAsia="zh-CN"/>
        </w:rPr>
        <w:t>四、执行期限</w:t>
      </w:r>
      <w:bookmarkEnd w:id="6"/>
      <w:r>
        <w:rPr>
          <w:rFonts w:hint="eastAsia" w:ascii="仿宋" w:hAnsi="仿宋" w:eastAsia="仿宋" w:cs="仿宋"/>
          <w:b/>
          <w:bCs w:val="0"/>
          <w:sz w:val="28"/>
          <w:szCs w:val="28"/>
          <w:highlight w:val="none"/>
          <w:lang w:val="en-US" w:eastAsia="zh-CN"/>
        </w:rPr>
        <w:t xml:space="preserve"> </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580" w:lineRule="exact"/>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2024年1月1日起至2024年12月31日止。</w:t>
      </w:r>
    </w:p>
    <w:p>
      <w:pPr>
        <w:pStyle w:val="4"/>
        <w:numPr>
          <w:ilvl w:val="0"/>
          <w:numId w:val="0"/>
        </w:numPr>
        <w:spacing w:before="0" w:after="0" w:line="360" w:lineRule="auto"/>
        <w:ind w:leftChars="0" w:firstLine="562" w:firstLineChars="200"/>
        <w:jc w:val="left"/>
        <w:rPr>
          <w:rFonts w:hint="eastAsia" w:ascii="仿宋" w:hAnsi="仿宋" w:eastAsia="仿宋" w:cs="仿宋"/>
          <w:bCs w:val="0"/>
          <w:sz w:val="28"/>
          <w:szCs w:val="28"/>
          <w:lang w:val="zh-CN"/>
        </w:rPr>
      </w:pPr>
      <w:bookmarkStart w:id="7" w:name="_Toc30553"/>
      <w:bookmarkStart w:id="8" w:name="_Toc5558"/>
      <w:r>
        <w:rPr>
          <w:rFonts w:hint="eastAsia" w:ascii="仿宋" w:hAnsi="仿宋" w:eastAsia="仿宋" w:cs="仿宋"/>
          <w:bCs w:val="0"/>
          <w:sz w:val="28"/>
          <w:szCs w:val="28"/>
          <w:lang w:val="zh-CN"/>
        </w:rPr>
        <w:t>五、服务标准</w:t>
      </w:r>
      <w:bookmarkEnd w:id="7"/>
      <w:bookmarkEnd w:id="8"/>
    </w:p>
    <w:p>
      <w:pPr>
        <w:numPr>
          <w:ilvl w:val="0"/>
          <w:numId w:val="2"/>
        </w:numPr>
        <w:spacing w:line="360" w:lineRule="auto"/>
        <w:ind w:left="5" w:firstLine="415"/>
        <w:rPr>
          <w:rFonts w:hint="eastAsia" w:ascii="仿宋" w:hAnsi="仿宋" w:eastAsia="仿宋" w:cs="仿宋"/>
          <w:bCs/>
          <w:sz w:val="24"/>
          <w:szCs w:val="24"/>
        </w:rPr>
      </w:pPr>
      <w:r>
        <w:rPr>
          <w:rFonts w:hint="eastAsia" w:ascii="仿宋" w:hAnsi="仿宋" w:eastAsia="仿宋" w:cs="仿宋"/>
          <w:bCs/>
          <w:sz w:val="24"/>
          <w:szCs w:val="24"/>
        </w:rPr>
        <w:t>保证本次框架协议产品入围价、官方指导价是真实的，可考量的，接受征集人的监督、检查。</w:t>
      </w:r>
    </w:p>
    <w:p>
      <w:pPr>
        <w:numPr>
          <w:ilvl w:val="0"/>
          <w:numId w:val="2"/>
        </w:numPr>
        <w:spacing w:line="360" w:lineRule="auto"/>
        <w:ind w:left="5" w:firstLine="415"/>
        <w:rPr>
          <w:rFonts w:hint="eastAsia" w:ascii="仿宋" w:hAnsi="仿宋" w:eastAsia="仿宋" w:cs="仿宋"/>
          <w:bCs/>
          <w:sz w:val="24"/>
          <w:szCs w:val="24"/>
        </w:rPr>
      </w:pPr>
      <w:r>
        <w:rPr>
          <w:rFonts w:hint="eastAsia" w:ascii="仿宋" w:hAnsi="仿宋" w:eastAsia="仿宋" w:cs="仿宋"/>
          <w:bCs/>
          <w:sz w:val="24"/>
          <w:szCs w:val="24"/>
        </w:rPr>
        <w:t>保证所提供的货物是全新、未使用过的原装合格正品,并且符合国家有关质量技术标准及相关法律、法规规定的要求。</w:t>
      </w:r>
    </w:p>
    <w:p>
      <w:pPr>
        <w:numPr>
          <w:ilvl w:val="0"/>
          <w:numId w:val="2"/>
        </w:numPr>
        <w:spacing w:line="360" w:lineRule="auto"/>
        <w:ind w:left="5" w:firstLine="415"/>
        <w:rPr>
          <w:rFonts w:hint="eastAsia" w:ascii="仿宋" w:hAnsi="仿宋" w:eastAsia="仿宋" w:cs="仿宋"/>
          <w:bCs/>
          <w:sz w:val="24"/>
          <w:szCs w:val="24"/>
        </w:rPr>
      </w:pPr>
      <w:r>
        <w:rPr>
          <w:rFonts w:hint="eastAsia" w:ascii="仿宋" w:hAnsi="仿宋" w:eastAsia="仿宋" w:cs="仿宋"/>
          <w:bCs/>
          <w:sz w:val="24"/>
          <w:szCs w:val="24"/>
        </w:rPr>
        <w:t>保证</w:t>
      </w:r>
      <w:r>
        <w:rPr>
          <w:rFonts w:hint="eastAsia" w:ascii="仿宋" w:hAnsi="仿宋" w:eastAsia="仿宋" w:cs="仿宋"/>
          <w:bCs/>
          <w:sz w:val="24"/>
          <w:szCs w:val="24"/>
          <w:lang w:eastAsia="zh-CN"/>
        </w:rPr>
        <w:t>鄂州市</w:t>
      </w:r>
      <w:r>
        <w:rPr>
          <w:rFonts w:hint="eastAsia" w:ascii="仿宋" w:hAnsi="仿宋" w:eastAsia="仿宋" w:cs="仿宋"/>
          <w:bCs/>
          <w:sz w:val="24"/>
          <w:szCs w:val="24"/>
        </w:rPr>
        <w:t>采购人优先享受各项服务。</w:t>
      </w:r>
    </w:p>
    <w:p>
      <w:pPr>
        <w:numPr>
          <w:ilvl w:val="0"/>
          <w:numId w:val="2"/>
        </w:numPr>
        <w:spacing w:line="360" w:lineRule="auto"/>
        <w:ind w:left="5" w:firstLine="415"/>
        <w:rPr>
          <w:rFonts w:hint="eastAsia" w:ascii="仿宋" w:hAnsi="仿宋" w:eastAsia="仿宋" w:cs="仿宋"/>
          <w:bCs/>
          <w:sz w:val="24"/>
          <w:szCs w:val="24"/>
        </w:rPr>
      </w:pPr>
      <w:r>
        <w:rPr>
          <w:rFonts w:hint="eastAsia" w:ascii="仿宋" w:hAnsi="仿宋" w:eastAsia="仿宋" w:cs="仿宋"/>
          <w:bCs/>
          <w:sz w:val="24"/>
          <w:szCs w:val="24"/>
        </w:rPr>
        <w:t>针对本项目成立服务小组，指派专人负责日常管理及联络工作。</w:t>
      </w:r>
    </w:p>
    <w:p>
      <w:pPr>
        <w:numPr>
          <w:ilvl w:val="0"/>
          <w:numId w:val="2"/>
        </w:numPr>
        <w:spacing w:line="360" w:lineRule="auto"/>
        <w:ind w:left="5" w:firstLine="415"/>
        <w:rPr>
          <w:rFonts w:hint="eastAsia" w:ascii="仿宋" w:hAnsi="仿宋" w:eastAsia="仿宋" w:cs="仿宋"/>
          <w:bCs/>
          <w:sz w:val="24"/>
          <w:szCs w:val="24"/>
        </w:rPr>
      </w:pPr>
      <w:r>
        <w:rPr>
          <w:rFonts w:hint="eastAsia" w:ascii="仿宋" w:hAnsi="仿宋" w:eastAsia="仿宋" w:cs="仿宋"/>
          <w:bCs/>
          <w:sz w:val="24"/>
          <w:szCs w:val="24"/>
        </w:rPr>
        <w:t>建立采购人对产品代理商投诉及处理台帐，记录投诉内容及协调处理方法，有效督促产品代理商严格履约。</w:t>
      </w:r>
    </w:p>
    <w:p>
      <w:pPr>
        <w:numPr>
          <w:ilvl w:val="0"/>
          <w:numId w:val="2"/>
        </w:numPr>
        <w:spacing w:line="360" w:lineRule="auto"/>
        <w:ind w:left="5" w:firstLine="415"/>
        <w:rPr>
          <w:rFonts w:hint="eastAsia" w:ascii="仿宋" w:hAnsi="仿宋" w:eastAsia="仿宋" w:cs="仿宋"/>
          <w:bCs/>
          <w:sz w:val="24"/>
          <w:szCs w:val="24"/>
        </w:rPr>
      </w:pPr>
      <w:r>
        <w:rPr>
          <w:rFonts w:hint="eastAsia" w:ascii="仿宋" w:hAnsi="仿宋" w:eastAsia="仿宋" w:cs="仿宋"/>
          <w:bCs/>
          <w:sz w:val="24"/>
          <w:szCs w:val="24"/>
        </w:rPr>
        <w:t>提供技术服务热线（7*24小时），负责解答采购人在使用中遇到的问题，并及时解决问题和提供远程操作方法。</w:t>
      </w:r>
    </w:p>
    <w:p>
      <w:pPr>
        <w:numPr>
          <w:ilvl w:val="0"/>
          <w:numId w:val="2"/>
        </w:numPr>
        <w:spacing w:line="360" w:lineRule="auto"/>
        <w:ind w:left="5" w:firstLine="415"/>
        <w:rPr>
          <w:rFonts w:hint="eastAsia" w:ascii="仿宋" w:hAnsi="仿宋" w:eastAsia="仿宋" w:cs="仿宋"/>
          <w:bCs/>
          <w:sz w:val="24"/>
          <w:szCs w:val="24"/>
        </w:rPr>
      </w:pPr>
      <w:r>
        <w:rPr>
          <w:rFonts w:hint="eastAsia" w:ascii="仿宋" w:hAnsi="仿宋" w:eastAsia="仿宋" w:cs="仿宋"/>
          <w:bCs/>
          <w:sz w:val="24"/>
          <w:szCs w:val="24"/>
        </w:rPr>
        <w:t>服从征集人管理要求，通过</w:t>
      </w:r>
      <w:r>
        <w:rPr>
          <w:rFonts w:hint="eastAsia" w:ascii="仿宋" w:hAnsi="仿宋" w:eastAsia="仿宋" w:cs="仿宋"/>
          <w:bCs/>
          <w:sz w:val="24"/>
          <w:szCs w:val="24"/>
          <w:lang w:eastAsia="zh-CN"/>
        </w:rPr>
        <w:t>鄂州市</w:t>
      </w:r>
      <w:r>
        <w:rPr>
          <w:rFonts w:hint="eastAsia" w:ascii="仿宋" w:hAnsi="仿宋" w:eastAsia="仿宋" w:cs="仿宋"/>
          <w:bCs/>
          <w:sz w:val="24"/>
          <w:szCs w:val="24"/>
        </w:rPr>
        <w:t>政府采购电子商城执行本次框架协议采购合同。</w:t>
      </w:r>
    </w:p>
    <w:p>
      <w:pPr>
        <w:numPr>
          <w:ilvl w:val="0"/>
          <w:numId w:val="2"/>
        </w:numPr>
        <w:spacing w:line="360" w:lineRule="auto"/>
        <w:ind w:left="5" w:firstLine="415"/>
        <w:rPr>
          <w:rFonts w:hint="eastAsia" w:ascii="仿宋" w:hAnsi="仿宋" w:eastAsia="仿宋" w:cs="仿宋"/>
          <w:bCs/>
          <w:sz w:val="24"/>
          <w:szCs w:val="24"/>
        </w:rPr>
      </w:pPr>
      <w:r>
        <w:rPr>
          <w:rFonts w:hint="eastAsia" w:ascii="仿宋" w:hAnsi="仿宋" w:eastAsia="仿宋" w:cs="仿宋"/>
          <w:bCs/>
          <w:sz w:val="24"/>
          <w:szCs w:val="24"/>
        </w:rPr>
        <w:t>协助有关部门做好廉政工作，防止腐败现象的出现。</w:t>
      </w:r>
    </w:p>
    <w:p>
      <w:pPr>
        <w:numPr>
          <w:ilvl w:val="0"/>
          <w:numId w:val="2"/>
        </w:numPr>
        <w:spacing w:line="360" w:lineRule="auto"/>
        <w:ind w:left="5" w:firstLine="415"/>
        <w:rPr>
          <w:rFonts w:hint="eastAsia" w:ascii="仿宋" w:hAnsi="仿宋" w:eastAsia="仿宋" w:cs="仿宋"/>
          <w:bCs/>
          <w:sz w:val="24"/>
          <w:szCs w:val="24"/>
        </w:rPr>
      </w:pPr>
      <w:r>
        <w:rPr>
          <w:rFonts w:hint="eastAsia" w:ascii="仿宋" w:hAnsi="仿宋" w:eastAsia="仿宋" w:cs="仿宋"/>
          <w:bCs/>
          <w:sz w:val="24"/>
          <w:szCs w:val="24"/>
        </w:rPr>
        <w:t>供应商提供的其他服务承诺（如维修保养等）。</w:t>
      </w:r>
    </w:p>
    <w:p>
      <w:pPr>
        <w:numPr>
          <w:ilvl w:val="0"/>
          <w:numId w:val="2"/>
        </w:numPr>
        <w:spacing w:line="360" w:lineRule="auto"/>
        <w:ind w:left="5" w:firstLine="415"/>
        <w:rPr>
          <w:rFonts w:hint="eastAsia" w:ascii="仿宋" w:hAnsi="仿宋" w:eastAsia="仿宋" w:cs="仿宋"/>
          <w:bCs/>
          <w:sz w:val="24"/>
          <w:szCs w:val="24"/>
        </w:rPr>
      </w:pPr>
      <w:r>
        <w:rPr>
          <w:rFonts w:hint="eastAsia" w:ascii="仿宋" w:hAnsi="仿宋" w:eastAsia="仿宋" w:cs="仿宋"/>
          <w:bCs/>
          <w:sz w:val="24"/>
          <w:szCs w:val="24"/>
        </w:rPr>
        <w:t>入围供应商应按照框架协议管理相关规定，主动配合征集人和财政部门的管理，按照相关的要求实施框架协议采购，并应做好入围产品的信息维护、代理商履约管理等工作。</w:t>
      </w:r>
    </w:p>
    <w:p>
      <w:pPr>
        <w:numPr>
          <w:ilvl w:val="0"/>
          <w:numId w:val="2"/>
        </w:numPr>
        <w:spacing w:line="360" w:lineRule="auto"/>
        <w:ind w:left="5" w:firstLine="415"/>
        <w:rPr>
          <w:rFonts w:hint="eastAsia" w:ascii="仿宋" w:hAnsi="仿宋" w:eastAsia="仿宋" w:cs="仿宋"/>
          <w:bCs/>
          <w:sz w:val="24"/>
          <w:szCs w:val="24"/>
        </w:rPr>
      </w:pPr>
      <w:r>
        <w:rPr>
          <w:rFonts w:hint="eastAsia" w:ascii="仿宋" w:hAnsi="仿宋" w:eastAsia="仿宋" w:cs="仿宋"/>
          <w:bCs/>
          <w:sz w:val="24"/>
          <w:szCs w:val="24"/>
        </w:rPr>
        <w:t>交货时间地点：授予合同之日起30日内或者根据合同约定时间和地点交货并完成安装调试。</w:t>
      </w:r>
    </w:p>
    <w:p>
      <w:pPr>
        <w:numPr>
          <w:ilvl w:val="0"/>
          <w:numId w:val="2"/>
        </w:numPr>
        <w:spacing w:line="360" w:lineRule="auto"/>
        <w:ind w:left="5" w:firstLine="415"/>
        <w:rPr>
          <w:rFonts w:hint="eastAsia" w:ascii="仿宋" w:hAnsi="仿宋" w:eastAsia="仿宋" w:cs="仿宋"/>
          <w:bCs/>
          <w:sz w:val="24"/>
          <w:szCs w:val="24"/>
        </w:rPr>
      </w:pPr>
      <w:r>
        <w:rPr>
          <w:rFonts w:hint="eastAsia" w:ascii="仿宋" w:hAnsi="仿宋" w:eastAsia="仿宋" w:cs="仿宋"/>
          <w:bCs/>
          <w:sz w:val="24"/>
          <w:szCs w:val="24"/>
        </w:rPr>
        <w:t>验收：采购人组织产品验收，符合征集文件和响应文件要求和承诺书承诺方可验收。</w:t>
      </w:r>
    </w:p>
    <w:p>
      <w:pPr>
        <w:pStyle w:val="4"/>
        <w:numPr>
          <w:ilvl w:val="0"/>
          <w:numId w:val="0"/>
        </w:numPr>
        <w:spacing w:before="0" w:after="0" w:line="360" w:lineRule="auto"/>
        <w:ind w:leftChars="0" w:firstLine="562" w:firstLineChars="200"/>
        <w:jc w:val="left"/>
        <w:rPr>
          <w:rFonts w:hint="eastAsia" w:ascii="仿宋" w:hAnsi="仿宋" w:eastAsia="仿宋" w:cs="仿宋"/>
          <w:bCs w:val="0"/>
          <w:sz w:val="28"/>
          <w:szCs w:val="28"/>
          <w:lang w:val="zh-CN"/>
        </w:rPr>
      </w:pPr>
      <w:bookmarkStart w:id="9" w:name="_Toc15346"/>
      <w:bookmarkStart w:id="10" w:name="_Toc20962"/>
      <w:r>
        <w:rPr>
          <w:rFonts w:hint="eastAsia" w:ascii="仿宋" w:hAnsi="仿宋" w:eastAsia="仿宋" w:cs="仿宋"/>
          <w:bCs w:val="0"/>
          <w:sz w:val="28"/>
          <w:szCs w:val="28"/>
          <w:lang w:val="zh-CN"/>
        </w:rPr>
        <w:t>六、商务要求</w:t>
      </w:r>
      <w:bookmarkEnd w:id="9"/>
      <w:bookmarkEnd w:id="10"/>
    </w:p>
    <w:p>
      <w:pPr>
        <w:numPr>
          <w:ilvl w:val="0"/>
          <w:numId w:val="3"/>
        </w:numPr>
        <w:spacing w:line="360" w:lineRule="auto"/>
        <w:ind w:left="5" w:firstLine="415"/>
        <w:rPr>
          <w:rFonts w:hint="eastAsia" w:ascii="仿宋" w:hAnsi="仿宋" w:eastAsia="仿宋" w:cs="仿宋"/>
          <w:sz w:val="24"/>
          <w:szCs w:val="24"/>
        </w:rPr>
      </w:pPr>
      <w:r>
        <w:rPr>
          <w:rFonts w:hint="eastAsia" w:ascii="仿宋" w:hAnsi="仿宋" w:eastAsia="仿宋" w:cs="仿宋"/>
          <w:bCs/>
          <w:sz w:val="24"/>
          <w:szCs w:val="24"/>
        </w:rPr>
        <w:t>价格确定：（1）</w:t>
      </w:r>
      <w:r>
        <w:rPr>
          <w:rFonts w:hint="eastAsia" w:ascii="仿宋" w:hAnsi="仿宋" w:eastAsia="仿宋" w:cs="仿宋"/>
          <w:sz w:val="24"/>
          <w:szCs w:val="24"/>
        </w:rPr>
        <w:t>在框架协议期间，入围产品价格为合同授予阶段最高限价，不得上调；（2）框架协议采购应当订立固定价格合同。（3）在其他优惠条件方面，入围供应商不得对采购人实行差别待遇。零售客户等享受的优惠条件，采购人必须同等享受。（4）响应供应商应按照技术参数响应表要求填报有关信息，在技术响应偏离表及商务响应偏离表填报。</w:t>
      </w:r>
    </w:p>
    <w:p>
      <w:pPr>
        <w:numPr>
          <w:ilvl w:val="0"/>
          <w:numId w:val="3"/>
        </w:numPr>
        <w:spacing w:line="360" w:lineRule="auto"/>
        <w:ind w:left="5" w:firstLine="415"/>
        <w:rPr>
          <w:rFonts w:hint="eastAsia" w:ascii="仿宋" w:hAnsi="仿宋" w:eastAsia="仿宋" w:cs="仿宋"/>
          <w:bCs/>
          <w:sz w:val="24"/>
          <w:szCs w:val="24"/>
        </w:rPr>
      </w:pPr>
      <w:r>
        <w:rPr>
          <w:rFonts w:hint="eastAsia" w:ascii="仿宋" w:hAnsi="仿宋" w:eastAsia="仿宋" w:cs="仿宋"/>
          <w:bCs/>
          <w:sz w:val="24"/>
          <w:szCs w:val="24"/>
        </w:rPr>
        <w:t>代理商要求：（1）服务器框架协议采购代理商必须满足政府采购法第二十二条规定。各代理商由入围供应商在签订时推荐，入围供应商可以委托一家或者多家代理商，按照框架协议约定接受采购人合同授予，并履行采购合同。入围供应商应当在框架协议中提供委托协议和委托的代理商名单。（2）框架协议执行期间，入围供应商对代理商有调整的，应重新提交委托协议和委托的代理商名单。（3）入围供应商及其推荐的协议供货代理商对本项目承担连带责任，协议供货代理商必须履行入围供应商参加征集时的要求其服务商服务承诺。</w:t>
      </w:r>
    </w:p>
    <w:p>
      <w:pPr>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br w:type="page"/>
      </w:r>
    </w:p>
    <w:p>
      <w:pPr>
        <w:pStyle w:val="3"/>
        <w:numPr>
          <w:ilvl w:val="0"/>
          <w:numId w:val="0"/>
        </w:numPr>
        <w:spacing w:before="240" w:after="120"/>
        <w:jc w:val="center"/>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第三章  确定入围及成交供应商</w:t>
      </w:r>
    </w:p>
    <w:p>
      <w:pPr>
        <w:numPr>
          <w:ilvl w:val="0"/>
          <w:numId w:val="0"/>
        </w:numPr>
        <w:spacing w:line="440" w:lineRule="exact"/>
        <w:ind w:firstLine="480" w:firstLineChars="200"/>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1、确定第一阶段入围供应商的评审方法为价格优先法。价格优先法是指对满足采购需求且投标报价不超过最高限制单价的产品，按照投标报价从低到高排序，根据征集文件规定的淘汰率或者入围供应商数量上限，确定入围供应商的评审方法。</w:t>
      </w:r>
    </w:p>
    <w:p>
      <w:pPr>
        <w:numPr>
          <w:ilvl w:val="0"/>
          <w:numId w:val="0"/>
        </w:numPr>
        <w:spacing w:line="440" w:lineRule="exact"/>
        <w:ind w:firstLine="480" w:firstLineChars="200"/>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2、入围供应商的淘汰比例：20%，且至少淘汰一家供应商（提交响应文件和符合资格条件、实质性要求的供应商少于2家时，采购活动终止）。</w:t>
      </w:r>
    </w:p>
    <w:p>
      <w:pPr>
        <w:numPr>
          <w:ilvl w:val="0"/>
          <w:numId w:val="0"/>
        </w:numPr>
        <w:spacing w:line="440" w:lineRule="exact"/>
        <w:ind w:firstLine="480" w:firstLineChars="200"/>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（1）若计算的淘汰数非整数，则按照向上取整原则进行处理。即，淘汰数量=向上取整[供应商数量×20%]（示例：如有11家供应商投标，淘汰数量=向上取整[11×20%]=向上取整[2.2]=3,最终实际淘汰3家供应商）；</w:t>
      </w:r>
    </w:p>
    <w:p>
      <w:pPr>
        <w:spacing w:line="440" w:lineRule="exact"/>
        <w:ind w:firstLine="480" w:firstLineChars="200"/>
        <w:rPr>
          <w:rFonts w:hint="eastAsia" w:ascii="仿宋" w:hAnsi="仿宋" w:eastAsia="仿宋" w:cs="仿宋"/>
          <w:bCs/>
          <w:sz w:val="24"/>
          <w:szCs w:val="24"/>
        </w:rPr>
      </w:pPr>
      <w:r>
        <w:rPr>
          <w:rFonts w:hint="eastAsia" w:ascii="仿宋" w:hAnsi="仿宋" w:eastAsia="仿宋" w:cs="仿宋"/>
          <w:bCs/>
          <w:color w:val="auto"/>
          <w:sz w:val="24"/>
          <w:szCs w:val="24"/>
          <w:lang w:val="en-US" w:eastAsia="zh-CN"/>
        </w:rPr>
        <w:t>（2）</w:t>
      </w:r>
      <w:r>
        <w:rPr>
          <w:rFonts w:hint="eastAsia" w:ascii="仿宋" w:hAnsi="仿宋" w:eastAsia="仿宋" w:cs="仿宋"/>
          <w:bCs/>
          <w:sz w:val="24"/>
          <w:szCs w:val="24"/>
        </w:rPr>
        <w:t>若按淘汰率得出的淘汰名次存在并列排序，比较供应商提供的技术参数，</w:t>
      </w:r>
      <w:r>
        <w:rPr>
          <w:rFonts w:hint="eastAsia" w:ascii="仿宋" w:hAnsi="仿宋" w:eastAsia="仿宋" w:cs="仿宋"/>
          <w:b w:val="0"/>
          <w:bCs/>
          <w:color w:val="000000" w:themeColor="text1"/>
          <w:sz w:val="24"/>
          <w:szCs w:val="24"/>
          <w14:textFill>
            <w14:solidFill>
              <w14:schemeClr w14:val="tx1"/>
            </w14:solidFill>
          </w14:textFill>
        </w:rPr>
        <w:t>依次</w:t>
      </w:r>
      <w:r>
        <w:rPr>
          <w:rFonts w:hint="eastAsia" w:ascii="仿宋" w:hAnsi="仿宋" w:eastAsia="仿宋" w:cs="仿宋"/>
          <w:bCs/>
          <w:sz w:val="24"/>
          <w:szCs w:val="24"/>
        </w:rPr>
        <w:t>按以下方式决定供应商排序：</w:t>
      </w:r>
    </w:p>
    <w:p>
      <w:pPr>
        <w:spacing w:line="440" w:lineRule="exact"/>
        <w:ind w:firstLine="480" w:firstLineChars="200"/>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1）分辨率越高排序名次越高；</w:t>
      </w:r>
    </w:p>
    <w:p>
      <w:pPr>
        <w:spacing w:line="440" w:lineRule="exact"/>
        <w:ind w:firstLine="480" w:firstLineChars="200"/>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2）亮度越高排序名次越高；</w:t>
      </w:r>
    </w:p>
    <w:p>
      <w:pPr>
        <w:spacing w:line="440" w:lineRule="exact"/>
        <w:ind w:firstLine="480" w:firstLineChars="200"/>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3）光源寿命越长排序名次越高；</w:t>
      </w:r>
    </w:p>
    <w:p>
      <w:pPr>
        <w:spacing w:line="440" w:lineRule="exact"/>
        <w:ind w:firstLine="480" w:firstLineChars="200"/>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4）投影仪质保期越长排序名次越高；</w:t>
      </w:r>
    </w:p>
    <w:p>
      <w:pPr>
        <w:numPr>
          <w:ilvl w:val="0"/>
          <w:numId w:val="0"/>
        </w:numPr>
        <w:spacing w:line="440" w:lineRule="exact"/>
        <w:ind w:firstLine="480" w:firstLineChars="200"/>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5）以上方式仍不能确定的，按随机抽取的方式确定排序名次。若采取随机抽取方式确定供应商排序，由评审小组采取随机抽取方式确定淘汰供应商。</w:t>
      </w:r>
    </w:p>
    <w:p>
      <w:pPr>
        <w:spacing w:line="440" w:lineRule="exact"/>
        <w:ind w:firstLine="480" w:firstLineChars="200"/>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3、政府采购政策功能落实</w:t>
      </w:r>
    </w:p>
    <w:p>
      <w:pPr>
        <w:numPr>
          <w:ilvl w:val="0"/>
          <w:numId w:val="0"/>
        </w:numPr>
        <w:spacing w:line="440" w:lineRule="exact"/>
        <w:ind w:firstLine="480" w:firstLineChars="200"/>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3.1、小微型企业价格扣除</w:t>
      </w:r>
    </w:p>
    <w:p>
      <w:pPr>
        <w:numPr>
          <w:ilvl w:val="0"/>
          <w:numId w:val="0"/>
        </w:numPr>
        <w:spacing w:line="440" w:lineRule="exact"/>
        <w:ind w:firstLine="480" w:firstLineChars="200"/>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（1）本项目对小型和微型企业产品给予10%的扣除价格，用扣除后的价格参与排序。</w:t>
      </w:r>
    </w:p>
    <w:p>
      <w:pPr>
        <w:numPr>
          <w:ilvl w:val="0"/>
          <w:numId w:val="0"/>
        </w:numPr>
        <w:spacing w:line="440" w:lineRule="exact"/>
        <w:ind w:firstLine="480" w:firstLineChars="200"/>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（2）供应商需按照征集文件的要求提供相应的《中小企业声明函》。</w:t>
      </w:r>
    </w:p>
    <w:p>
      <w:pPr>
        <w:numPr>
          <w:ilvl w:val="0"/>
          <w:numId w:val="0"/>
        </w:numPr>
        <w:spacing w:line="440" w:lineRule="exact"/>
        <w:ind w:firstLine="480" w:firstLineChars="200"/>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（3）企业标准请参照《关于印发中小企业划型标准规定的通知》（工信部联企业[2011]300号）文件规定自行填写。</w:t>
      </w:r>
    </w:p>
    <w:p>
      <w:pPr>
        <w:numPr>
          <w:ilvl w:val="0"/>
          <w:numId w:val="0"/>
        </w:numPr>
        <w:spacing w:line="440" w:lineRule="exact"/>
        <w:ind w:firstLine="480" w:firstLineChars="200"/>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3.2、残疾人福利单位价格扣除</w:t>
      </w:r>
    </w:p>
    <w:p>
      <w:pPr>
        <w:numPr>
          <w:ilvl w:val="0"/>
          <w:numId w:val="0"/>
        </w:numPr>
        <w:spacing w:line="440" w:lineRule="exact"/>
        <w:ind w:firstLine="480" w:firstLineChars="200"/>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（1）本项目对残疾人福利性单位视同小型、微型企业，给予10%的价格扣除，用扣除后的价格参与排序。</w:t>
      </w:r>
    </w:p>
    <w:p>
      <w:pPr>
        <w:numPr>
          <w:ilvl w:val="0"/>
          <w:numId w:val="0"/>
        </w:numPr>
        <w:spacing w:line="440" w:lineRule="exact"/>
        <w:ind w:firstLine="480" w:firstLineChars="200"/>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（2）残疾人福利单位需按照征集文件的要求提供《残疾人福利性单位声明函》。</w:t>
      </w:r>
    </w:p>
    <w:p>
      <w:pPr>
        <w:numPr>
          <w:ilvl w:val="0"/>
          <w:numId w:val="0"/>
        </w:numPr>
        <w:spacing w:line="440" w:lineRule="exact"/>
        <w:ind w:firstLine="480" w:firstLineChars="200"/>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（3）残疾人福利单位标准请参照《关于促进残疾人就业政府采购政策的通知》（财库〔2017〕141号）。</w:t>
      </w:r>
    </w:p>
    <w:p>
      <w:pPr>
        <w:numPr>
          <w:ilvl w:val="0"/>
          <w:numId w:val="0"/>
        </w:numPr>
        <w:spacing w:line="440" w:lineRule="exact"/>
        <w:ind w:firstLine="480" w:firstLineChars="200"/>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3、监狱和戒毒企业价格扣除</w:t>
      </w:r>
    </w:p>
    <w:p>
      <w:pPr>
        <w:numPr>
          <w:ilvl w:val="0"/>
          <w:numId w:val="0"/>
        </w:numPr>
        <w:spacing w:line="440" w:lineRule="exact"/>
        <w:ind w:firstLine="480" w:firstLineChars="200"/>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（1）本项目对监狱和戒毒企业（简称监狱企业）视同小型、微型企业，给予10%的价格扣除，用扣除后的价格参与排序。</w:t>
      </w:r>
    </w:p>
    <w:p>
      <w:pPr>
        <w:numPr>
          <w:ilvl w:val="0"/>
          <w:numId w:val="0"/>
        </w:numPr>
        <w:spacing w:line="440" w:lineRule="exact"/>
        <w:ind w:firstLine="480" w:firstLineChars="200"/>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（2）监狱企业参加政府采购活动时，需提供由省级以上监狱管理局、戒毒管理局(含新疆生产建设兵团)出具的属于监狱企业的证明文件。供应商如不提供上述证明文件，价格将不做相应扣除。</w:t>
      </w:r>
    </w:p>
    <w:p>
      <w:pPr>
        <w:numPr>
          <w:ilvl w:val="0"/>
          <w:numId w:val="0"/>
        </w:numPr>
        <w:spacing w:line="440" w:lineRule="exact"/>
        <w:ind w:firstLine="480" w:firstLineChars="200"/>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（3）监狱企业标准请参照《关于政府采购支持监狱企业发展有关问题的通知》（财库[2014]68号）。</w:t>
      </w:r>
    </w:p>
    <w:p>
      <w:pPr>
        <w:numPr>
          <w:ilvl w:val="0"/>
          <w:numId w:val="0"/>
        </w:numPr>
        <w:spacing w:line="440" w:lineRule="exact"/>
        <w:ind w:firstLine="480" w:firstLineChars="200"/>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4、残疾人福利单位、监狱企业属于小型、微型企业的，不重复享受政策。</w:t>
      </w:r>
    </w:p>
    <w:p>
      <w:pPr>
        <w:numPr>
          <w:ilvl w:val="0"/>
          <w:numId w:val="0"/>
        </w:numPr>
        <w:spacing w:line="440" w:lineRule="exact"/>
        <w:ind w:firstLine="482" w:firstLineChars="200"/>
        <w:rPr>
          <w:rFonts w:hint="eastAsia" w:ascii="仿宋" w:hAnsi="仿宋" w:eastAsia="仿宋" w:cs="仿宋"/>
          <w:b/>
          <w:bCs w:val="0"/>
          <w:color w:val="auto"/>
          <w:sz w:val="24"/>
          <w:szCs w:val="24"/>
          <w:lang w:val="en-US" w:eastAsia="zh-CN"/>
        </w:rPr>
      </w:pPr>
      <w:r>
        <w:rPr>
          <w:rFonts w:hint="eastAsia" w:ascii="仿宋" w:hAnsi="仿宋" w:eastAsia="仿宋" w:cs="仿宋"/>
          <w:b/>
          <w:bCs w:val="0"/>
          <w:color w:val="auto"/>
          <w:sz w:val="24"/>
          <w:szCs w:val="24"/>
          <w:lang w:val="en-US" w:eastAsia="zh-CN"/>
        </w:rPr>
        <w:t>二、确定第二阶段成交供应商的方式</w:t>
      </w:r>
    </w:p>
    <w:p>
      <w:pPr>
        <w:numPr>
          <w:ilvl w:val="0"/>
          <w:numId w:val="0"/>
        </w:numPr>
        <w:spacing w:line="440" w:lineRule="exact"/>
        <w:ind w:firstLine="480" w:firstLineChars="200"/>
        <w:rPr>
          <w:rFonts w:hint="default" w:ascii="仿宋" w:hAnsi="仿宋" w:eastAsia="仿宋" w:cs="仿宋"/>
          <w:bCs/>
          <w:color w:val="auto"/>
          <w:sz w:val="24"/>
          <w:szCs w:val="24"/>
          <w:lang w:eastAsia="zh-CN"/>
        </w:rPr>
      </w:pPr>
      <w:r>
        <w:rPr>
          <w:rFonts w:hint="eastAsia" w:ascii="仿宋" w:hAnsi="仿宋" w:eastAsia="仿宋" w:cs="仿宋"/>
          <w:bCs/>
          <w:color w:val="auto"/>
          <w:sz w:val="24"/>
          <w:szCs w:val="24"/>
          <w:lang w:val="en-US" w:eastAsia="zh-CN"/>
        </w:rPr>
        <w:t>1.确定第二阶段成交供应商的方式为直接选定或二次竞价。</w:t>
      </w:r>
      <w:r>
        <w:rPr>
          <w:rFonts w:hint="default" w:ascii="仿宋" w:hAnsi="仿宋" w:eastAsia="仿宋" w:cs="仿宋"/>
          <w:bCs/>
          <w:color w:val="auto"/>
          <w:sz w:val="24"/>
          <w:szCs w:val="24"/>
          <w:lang w:eastAsia="zh-CN"/>
        </w:rPr>
        <w:t>直接选定由采购人或者服务对象依据入围产品价格、质量以及服务便利性、用户评价等因素，从第一阶段入围供应商中直接选定。二次竞价以框架协议约定的入围产品、采购合同文本等为依据，以协议价格为最高限价，采购人明确第二阶段竞价需求，从入围供应商中选择所有符合竞价需求的供应商参与二次竞价，确定报价最低的为成交供应商。</w:t>
      </w:r>
    </w:p>
    <w:p>
      <w:pPr>
        <w:numPr>
          <w:ilvl w:val="0"/>
          <w:numId w:val="0"/>
        </w:numPr>
        <w:spacing w:line="440" w:lineRule="exact"/>
        <w:ind w:firstLine="480" w:firstLineChars="200"/>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2.采购人在确定成交供应商后，双方应当按照框架协议中规定的“采购合同文本”格式签订电子采购合同，不得擅自改变框架协议约定的合同实质性条款。</w:t>
      </w:r>
    </w:p>
    <w:p>
      <w:pPr>
        <w:rPr>
          <w:rFonts w:hint="eastAsia" w:ascii="仿宋" w:hAnsi="仿宋" w:eastAsia="仿宋" w:cs="仿宋"/>
          <w:bCs/>
          <w:color w:val="auto"/>
          <w:sz w:val="24"/>
          <w:szCs w:val="24"/>
          <w:lang w:val="en-US" w:eastAsia="zh-CN"/>
        </w:rPr>
      </w:pPr>
    </w:p>
    <w:p>
      <w:pPr>
        <w:rPr>
          <w:rFonts w:hint="eastAsia" w:ascii="仿宋" w:hAnsi="仿宋" w:eastAsia="仿宋" w:cs="仿宋"/>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638ED1"/>
    <w:multiLevelType w:val="singleLevel"/>
    <w:tmpl w:val="CB638ED1"/>
    <w:lvl w:ilvl="0" w:tentative="0">
      <w:start w:val="1"/>
      <w:numFmt w:val="decimal"/>
      <w:lvlText w:val="%1."/>
      <w:lvlJc w:val="left"/>
      <w:pPr>
        <w:ind w:left="425" w:hanging="425"/>
      </w:pPr>
      <w:rPr>
        <w:rFonts w:hint="default"/>
      </w:rPr>
    </w:lvl>
  </w:abstractNum>
  <w:abstractNum w:abstractNumId="1">
    <w:nsid w:val="4EAF5455"/>
    <w:multiLevelType w:val="multilevel"/>
    <w:tmpl w:val="4EAF5455"/>
    <w:lvl w:ilvl="0" w:tentative="0">
      <w:start w:val="1"/>
      <w:numFmt w:val="chineseCountingThousand"/>
      <w:lvlText w:val="第%1章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CCC16D0"/>
    <w:multiLevelType w:val="singleLevel"/>
    <w:tmpl w:val="6CCC16D0"/>
    <w:lvl w:ilvl="0" w:tentative="0">
      <w:start w:val="1"/>
      <w:numFmt w:val="decimal"/>
      <w:lvlText w:val="%1."/>
      <w:lvlJc w:val="left"/>
      <w:pPr>
        <w:ind w:left="425" w:hanging="425"/>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ZWE5OWJiYmEwMWEyZGNlZjNkNDJlODhhYmJmYTEifQ=="/>
  </w:docVars>
  <w:rsids>
    <w:rsidRoot w:val="0CE50A19"/>
    <w:rsid w:val="04DC7F02"/>
    <w:rsid w:val="05CA273A"/>
    <w:rsid w:val="0CE50A19"/>
    <w:rsid w:val="0FFF600C"/>
    <w:rsid w:val="10D51973"/>
    <w:rsid w:val="19C1510B"/>
    <w:rsid w:val="1A7A7D77"/>
    <w:rsid w:val="1ED50B96"/>
    <w:rsid w:val="217E28FF"/>
    <w:rsid w:val="25F131B3"/>
    <w:rsid w:val="279A5D22"/>
    <w:rsid w:val="29F21E73"/>
    <w:rsid w:val="2AB70C30"/>
    <w:rsid w:val="2C5C1A8E"/>
    <w:rsid w:val="2C792640"/>
    <w:rsid w:val="2ECE46D3"/>
    <w:rsid w:val="2FF565B0"/>
    <w:rsid w:val="38E173A8"/>
    <w:rsid w:val="3D624A2B"/>
    <w:rsid w:val="50BB2978"/>
    <w:rsid w:val="5A5C7E46"/>
    <w:rsid w:val="5A6C083F"/>
    <w:rsid w:val="5E2C27BF"/>
    <w:rsid w:val="65DC05A0"/>
    <w:rsid w:val="7709593C"/>
    <w:rsid w:val="782C7B34"/>
    <w:rsid w:val="7C8E77D0"/>
    <w:rsid w:val="AB9D29F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oc 2"/>
    <w:basedOn w:val="1"/>
    <w:next w:val="1"/>
    <w:unhideWhenUsed/>
    <w:qFormat/>
    <w:uiPriority w:val="39"/>
    <w:pPr>
      <w:widowControl/>
      <w:tabs>
        <w:tab w:val="left" w:pos="756"/>
        <w:tab w:val="left" w:pos="966"/>
        <w:tab w:val="left" w:pos="1204"/>
        <w:tab w:val="left" w:pos="1442"/>
        <w:tab w:val="right" w:leader="dot" w:pos="9514"/>
      </w:tabs>
      <w:spacing w:line="276" w:lineRule="auto"/>
      <w:ind w:left="220"/>
      <w:jc w:val="left"/>
    </w:pPr>
    <w:rPr>
      <w:rFonts w:ascii="宋体" w:hAnsi="宋体"/>
      <w:kern w:val="0"/>
      <w:sz w:val="24"/>
    </w:rPr>
  </w:style>
  <w:style w:type="paragraph" w:styleId="5">
    <w:name w:val="annotation text"/>
    <w:basedOn w:val="1"/>
    <w:qFormat/>
    <w:uiPriority w:val="0"/>
    <w:pPr>
      <w:jc w:val="left"/>
    </w:pPr>
  </w:style>
  <w:style w:type="paragraph" w:styleId="6">
    <w:name w:val="Body Text"/>
    <w:basedOn w:val="1"/>
    <w:semiHidden/>
    <w:unhideWhenUsed/>
    <w:qFormat/>
    <w:uiPriority w:val="99"/>
    <w:pPr>
      <w:spacing w:after="120"/>
    </w:pPr>
  </w:style>
  <w:style w:type="paragraph" w:styleId="7">
    <w:name w:val="header"/>
    <w:basedOn w:val="1"/>
    <w:next w:val="1"/>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10">
    <w:name w:val="01 正文-首行缩进2字符"/>
    <w:basedOn w:val="1"/>
    <w:qFormat/>
    <w:uiPriority w:val="0"/>
    <w:pPr>
      <w:spacing w:before="50" w:beforeLines="50" w:after="50" w:afterLines="50" w:line="360" w:lineRule="auto"/>
      <w:ind w:firstLine="200" w:firstLineChars="200"/>
    </w:pPr>
    <w:rPr>
      <w:rFonts w:ascii="Arial" w:hAnsi="Arial" w:eastAsia="宋体"/>
      <w:color w:val="000000"/>
      <w:sz w:val="24"/>
    </w:rPr>
  </w:style>
  <w:style w:type="character" w:customStyle="1" w:styleId="11">
    <w:name w:val="fontstyle21"/>
    <w:basedOn w:val="9"/>
    <w:qFormat/>
    <w:uiPriority w:val="0"/>
    <w:rPr>
      <w:rFonts w:hint="eastAsia" w:ascii="华文仿宋" w:hAnsi="华文仿宋" w:eastAsia="华文仿宋"/>
      <w:color w:val="00000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2964</Words>
  <Characters>3163</Characters>
  <Lines>0</Lines>
  <Paragraphs>0</Paragraphs>
  <TotalTime>0</TotalTime>
  <ScaleCrop>false</ScaleCrop>
  <LinksUpToDate>false</LinksUpToDate>
  <CharactersWithSpaces>3177</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2023-10-08T15:46:00Z</dcterms:created>
  <dc:creator>zt</dc:creator>
  <cp:lastModifiedBy>胡靖</cp:lastModifiedBy>
  <dcterms:modified xsi:type="dcterms:W3CDTF">2023-12-12T08:54:58Z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448FAB9BBFBD4F04BF8044A60C7F9E91</vt:lpwstr>
  </property>
</Properties>
</file>