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color w:val="auto"/>
          <w:sz w:val="32"/>
          <w:szCs w:val="32"/>
        </w:rPr>
      </w:pPr>
      <w:r>
        <w:rPr>
          <w:rFonts w:hint="eastAsia" w:ascii="黑体" w:hAnsi="黑体" w:eastAsia="黑体" w:cs="黑体"/>
          <w:b w:val="0"/>
          <w:bCs w:val="0"/>
          <w:color w:val="auto"/>
          <w:sz w:val="44"/>
          <w:szCs w:val="44"/>
          <w:lang w:val="en-US" w:eastAsia="zh-CN"/>
        </w:rPr>
        <w:t>LED显示屏框架协议采购需求</w:t>
      </w:r>
    </w:p>
    <w:p>
      <w:pPr>
        <w:pStyle w:val="3"/>
        <w:numPr>
          <w:ilvl w:val="0"/>
          <w:numId w:val="1"/>
        </w:numPr>
        <w:spacing w:before="240" w:after="120"/>
        <w:ind w:left="643" w:hanging="643" w:hangingChars="200"/>
        <w:jc w:val="center"/>
        <w:rPr>
          <w:rFonts w:ascii="仿宋" w:hAnsi="仿宋" w:eastAsia="仿宋"/>
          <w:color w:val="auto"/>
          <w:sz w:val="32"/>
          <w:szCs w:val="32"/>
        </w:rPr>
      </w:pPr>
      <w:r>
        <w:rPr>
          <w:rFonts w:hint="eastAsia" w:ascii="仿宋" w:hAnsi="仿宋" w:eastAsia="仿宋"/>
          <w:color w:val="auto"/>
          <w:sz w:val="32"/>
          <w:szCs w:val="32"/>
          <w:lang w:val="en-US" w:eastAsia="zh-CN"/>
        </w:rPr>
        <w:t>资格要求</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1.满足《中华人民共和国政府采购法》第二十二条规定，即：</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（1）具有独立承担民事责任的能力；</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（2）具有良好的商业信誉和健全的财务会计制度；</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（3）具有履行合同所必需的设备和专业技术能力；</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（4）有依法缴纳税收和社会保障资金的良好记录；</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（5）参加政府采购活动前三年内，在经营活动中没有重大违法记录；</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（6）法律、行政法规规定的其他条件。</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2.单位负责人为同一人或者存在直接控股、管理关系的不同投标人，不得参加本项目同一合同项下的政府采购活动。</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3.为本采购项目提供整体设计、规范编制或者项目管理、监理、检测等服务的，不得再参加本项目的其他招标采购活动。</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4.未被列入失信被执行人、重大税收违法案件当事人名单，未被列入政府采购严重违法失信行为记录名单。</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ascii="仿宋" w:hAnsi="仿宋" w:eastAsia="仿宋"/>
          <w:bCs/>
          <w:color w:val="auto"/>
          <w:sz w:val="24"/>
          <w:szCs w:val="24"/>
        </w:rPr>
      </w:pPr>
      <w:r>
        <w:rPr>
          <w:rFonts w:hint="eastAsia" w:ascii="仿宋" w:hAnsi="仿宋" w:eastAsia="仿宋"/>
          <w:bCs/>
          <w:color w:val="auto"/>
          <w:sz w:val="24"/>
          <w:szCs w:val="24"/>
        </w:rPr>
        <w:t>5.落实政府采购政策需满足的资格要求：无</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hint="eastAsia" w:ascii="仿宋" w:hAnsi="仿宋" w:eastAsia="仿宋"/>
          <w:bCs/>
          <w:color w:val="auto"/>
          <w:sz w:val="24"/>
          <w:szCs w:val="24"/>
        </w:rPr>
      </w:pPr>
      <w:r>
        <w:rPr>
          <w:rFonts w:hint="eastAsia" w:ascii="仿宋" w:hAnsi="仿宋" w:eastAsia="仿宋"/>
          <w:bCs/>
          <w:color w:val="auto"/>
          <w:sz w:val="24"/>
          <w:szCs w:val="24"/>
        </w:rPr>
        <w:t>6.本项目的特定资格要求：</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hint="eastAsia" w:ascii="仿宋" w:hAnsi="仿宋" w:eastAsia="仿宋"/>
          <w:bCs/>
          <w:sz w:val="24"/>
          <w:szCs w:val="24"/>
          <w:highlight w:val="none"/>
          <w:lang w:eastAsia="zh-CN"/>
        </w:rPr>
      </w:pPr>
      <w:r>
        <w:rPr>
          <w:rFonts w:hint="eastAsia" w:ascii="仿宋" w:hAnsi="仿宋" w:eastAsia="仿宋"/>
          <w:bCs/>
          <w:sz w:val="24"/>
          <w:szCs w:val="24"/>
          <w:highlight w:val="none"/>
          <w:lang w:eastAsia="zh-CN"/>
        </w:rPr>
        <w:t>供应商必须是响应产品的生产厂家或者生产厂家对本项目的唯一授权供应商。</w:t>
      </w:r>
    </w:p>
    <w:p>
      <w:pPr>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br w:type="page"/>
      </w:r>
    </w:p>
    <w:p>
      <w:pPr>
        <w:pStyle w:val="3"/>
        <w:numPr>
          <w:ilvl w:val="0"/>
          <w:numId w:val="1"/>
        </w:numPr>
        <w:spacing w:before="240" w:after="120"/>
        <w:ind w:left="643" w:hanging="643" w:hangingChars="200"/>
        <w:jc w:val="center"/>
        <w:rPr>
          <w:rFonts w:ascii="仿宋" w:hAnsi="仿宋" w:eastAsia="仿宋"/>
          <w:color w:val="auto"/>
          <w:sz w:val="32"/>
          <w:szCs w:val="32"/>
        </w:rPr>
      </w:pPr>
      <w:bookmarkStart w:id="0" w:name="_Toc17562"/>
      <w:r>
        <w:rPr>
          <w:rFonts w:hint="eastAsia" w:ascii="仿宋" w:hAnsi="仿宋" w:eastAsia="仿宋"/>
          <w:color w:val="auto"/>
          <w:sz w:val="32"/>
          <w:szCs w:val="32"/>
          <w:lang w:eastAsia="zh-CN"/>
        </w:rPr>
        <w:t>项目技术要求</w:t>
      </w:r>
      <w:bookmarkEnd w:id="0"/>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项目概况</w:t>
      </w:r>
    </w:p>
    <w:p>
      <w:pPr>
        <w:numPr>
          <w:ilvl w:val="0"/>
          <w:numId w:val="3"/>
        </w:numPr>
        <w:spacing w:line="360" w:lineRule="auto"/>
        <w:ind w:left="5" w:leftChars="0" w:firstLine="415" w:firstLineChars="0"/>
        <w:rPr>
          <w:rFonts w:hint="eastAsia" w:ascii="仿宋" w:hAnsi="仿宋" w:eastAsia="仿宋" w:cs="宋体"/>
          <w:b w:val="0"/>
          <w:bCs/>
          <w:color w:val="auto"/>
          <w:sz w:val="24"/>
          <w:szCs w:val="24"/>
        </w:rPr>
      </w:pPr>
      <w:r>
        <w:rPr>
          <w:rFonts w:hint="eastAsia" w:ascii="仿宋" w:hAnsi="仿宋" w:eastAsia="仿宋" w:cs="宋体"/>
          <w:b w:val="0"/>
          <w:bCs/>
          <w:color w:val="auto"/>
          <w:sz w:val="24"/>
          <w:szCs w:val="24"/>
          <w:lang w:eastAsia="zh-CN"/>
        </w:rPr>
        <w:t>适用框架协议的采购人：</w:t>
      </w:r>
      <w:r>
        <w:rPr>
          <w:rStyle w:val="15"/>
          <w:rFonts w:hint="eastAsia"/>
          <w:color w:val="auto"/>
          <w:sz w:val="24"/>
          <w:szCs w:val="24"/>
          <w:lang w:val="en-US" w:eastAsia="zh-CN"/>
        </w:rPr>
        <w:t>鄂州市各级预算单位</w:t>
      </w:r>
      <w:bookmarkStart w:id="1" w:name="_GoBack"/>
      <w:bookmarkEnd w:id="1"/>
      <w:r>
        <w:rPr>
          <w:rFonts w:hint="eastAsia" w:ascii="仿宋" w:hAnsi="仿宋" w:eastAsia="仿宋" w:cs="宋体"/>
          <w:b w:val="0"/>
          <w:bCs/>
          <w:color w:val="auto"/>
          <w:sz w:val="24"/>
          <w:szCs w:val="24"/>
        </w:rPr>
        <w:t>。</w:t>
      </w:r>
    </w:p>
    <w:p>
      <w:pPr>
        <w:numPr>
          <w:ilvl w:val="0"/>
          <w:numId w:val="3"/>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框架协议的期限：</w:t>
      </w:r>
      <w:r>
        <w:rPr>
          <w:rFonts w:hint="eastAsia" w:ascii="仿宋" w:hAnsi="仿宋" w:eastAsia="仿宋"/>
          <w:bCs/>
          <w:sz w:val="24"/>
          <w:szCs w:val="24"/>
          <w:highlight w:val="none"/>
          <w:lang w:eastAsia="zh-CN"/>
        </w:rPr>
        <w:t>2024年1月1日</w:t>
      </w:r>
      <w:r>
        <w:rPr>
          <w:rFonts w:hint="default" w:ascii="仿宋" w:hAnsi="仿宋" w:eastAsia="仿宋"/>
          <w:bCs/>
          <w:sz w:val="24"/>
          <w:szCs w:val="24"/>
          <w:highlight w:val="none"/>
          <w:lang w:eastAsia="zh-CN"/>
        </w:rPr>
        <w:t>起</w:t>
      </w:r>
      <w:r>
        <w:rPr>
          <w:rFonts w:hint="eastAsia" w:ascii="仿宋" w:hAnsi="仿宋" w:eastAsia="仿宋"/>
          <w:bCs/>
          <w:sz w:val="24"/>
          <w:szCs w:val="24"/>
          <w:highlight w:val="none"/>
          <w:lang w:eastAsia="zh-CN"/>
        </w:rPr>
        <w:t>至2024年12月31日止</w:t>
      </w:r>
      <w:r>
        <w:rPr>
          <w:rFonts w:hint="eastAsia" w:ascii="仿宋" w:hAnsi="仿宋" w:eastAsia="仿宋" w:cs="宋体"/>
          <w:b w:val="0"/>
          <w:bCs/>
          <w:color w:val="auto"/>
          <w:sz w:val="24"/>
          <w:szCs w:val="24"/>
          <w:lang w:eastAsia="zh-CN"/>
        </w:rPr>
        <w:t>。</w:t>
      </w:r>
    </w:p>
    <w:p>
      <w:pPr>
        <w:numPr>
          <w:ilvl w:val="0"/>
          <w:numId w:val="3"/>
        </w:numPr>
        <w:spacing w:line="360" w:lineRule="auto"/>
        <w:ind w:left="5" w:leftChars="0" w:firstLine="415" w:firstLine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采购内容：LED显示屏</w:t>
      </w:r>
      <w:r>
        <w:rPr>
          <w:rFonts w:hint="eastAsia" w:ascii="仿宋" w:hAnsi="仿宋" w:eastAsia="仿宋" w:cs="宋体"/>
          <w:b w:val="0"/>
          <w:bCs/>
          <w:color w:val="auto"/>
          <w:sz w:val="24"/>
          <w:szCs w:val="24"/>
          <w:highlight w:val="none"/>
          <w:lang w:val="en-US" w:eastAsia="zh-CN"/>
        </w:rPr>
        <w:t>。</w:t>
      </w:r>
    </w:p>
    <w:p>
      <w:pPr>
        <w:numPr>
          <w:ilvl w:val="0"/>
          <w:numId w:val="3"/>
        </w:numPr>
        <w:spacing w:line="360" w:lineRule="auto"/>
        <w:ind w:left="5" w:firstLine="415"/>
        <w:rPr>
          <w:rFonts w:ascii="仿宋" w:hAnsi="仿宋" w:eastAsia="仿宋" w:cs="宋体"/>
          <w:bCs/>
          <w:sz w:val="24"/>
          <w:szCs w:val="24"/>
        </w:rPr>
      </w:pPr>
      <w:r>
        <w:rPr>
          <w:rFonts w:hint="eastAsia" w:ascii="仿宋" w:hAnsi="仿宋" w:eastAsia="仿宋" w:cs="宋体"/>
          <w:bCs/>
          <w:sz w:val="24"/>
          <w:szCs w:val="24"/>
        </w:rPr>
        <w:t>是否为强制节能产品：</w:t>
      </w:r>
      <w:r>
        <w:rPr>
          <w:rFonts w:hint="eastAsia" w:ascii="仿宋" w:hAnsi="仿宋" w:eastAsia="仿宋" w:cs="宋体"/>
          <w:bCs/>
          <w:sz w:val="24"/>
          <w:szCs w:val="24"/>
          <w:lang w:eastAsia="zh-CN"/>
        </w:rPr>
        <w:t>否</w:t>
      </w:r>
      <w:r>
        <w:rPr>
          <w:rFonts w:hint="eastAsia" w:ascii="仿宋" w:hAnsi="仿宋" w:eastAsia="仿宋" w:cs="宋体"/>
          <w:bCs/>
          <w:sz w:val="24"/>
          <w:szCs w:val="24"/>
        </w:rPr>
        <w:t>。</w:t>
      </w:r>
    </w:p>
    <w:p>
      <w:pPr>
        <w:numPr>
          <w:ilvl w:val="0"/>
          <w:numId w:val="3"/>
        </w:numPr>
        <w:spacing w:line="360" w:lineRule="auto"/>
        <w:ind w:left="5" w:leftChars="0" w:firstLine="415" w:firstLine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行业划型：按照《关于印发中小企业划型标准规定的通知》（工信部联企业〔2011〕300号）的标准，本包标的属于“工业”。</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技术要求</w:t>
      </w:r>
    </w:p>
    <w:p>
      <w:pPr>
        <w:numPr>
          <w:ilvl w:val="0"/>
          <w:numId w:val="4"/>
        </w:numPr>
        <w:spacing w:line="360" w:lineRule="auto"/>
        <w:ind w:left="5" w:leftChars="0" w:firstLine="415" w:firstLine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本次征集分包如下：</w:t>
      </w:r>
    </w:p>
    <w:tbl>
      <w:tblPr>
        <w:tblStyle w:val="11"/>
        <w:tblW w:w="8940" w:type="dxa"/>
        <w:tblInd w:w="-225" w:type="dxa"/>
        <w:tblLayout w:type="fixed"/>
        <w:tblCellMar>
          <w:top w:w="0" w:type="dxa"/>
          <w:left w:w="0" w:type="dxa"/>
          <w:bottom w:w="0" w:type="dxa"/>
          <w:right w:w="0" w:type="dxa"/>
        </w:tblCellMar>
      </w:tblPr>
      <w:tblGrid>
        <w:gridCol w:w="780"/>
        <w:gridCol w:w="915"/>
        <w:gridCol w:w="1035"/>
        <w:gridCol w:w="870"/>
        <w:gridCol w:w="1125"/>
        <w:gridCol w:w="1065"/>
        <w:gridCol w:w="1065"/>
        <w:gridCol w:w="1035"/>
        <w:gridCol w:w="1050"/>
      </w:tblGrid>
      <w:tr>
        <w:tblPrEx>
          <w:tblCellMar>
            <w:top w:w="0" w:type="dxa"/>
            <w:left w:w="0" w:type="dxa"/>
            <w:bottom w:w="0" w:type="dxa"/>
            <w:right w:w="0" w:type="dxa"/>
          </w:tblCellMar>
        </w:tblPrEx>
        <w:trPr>
          <w:trHeight w:val="570"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分包</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最高限价（</w:t>
            </w:r>
            <w:r>
              <w:rPr>
                <w:rFonts w:hint="eastAsia" w:ascii="黑体" w:hAnsi="黑体" w:eastAsia="黑体" w:cs="黑体"/>
                <w:bCs/>
                <w:color w:val="000000"/>
                <w:kern w:val="0"/>
                <w:sz w:val="24"/>
                <w:lang w:val="en-US" w:eastAsia="zh-CN" w:bidi="ar"/>
              </w:rPr>
              <w:t>万</w:t>
            </w:r>
            <w:r>
              <w:rPr>
                <w:rFonts w:hint="eastAsia" w:ascii="黑体" w:hAnsi="黑体" w:eastAsia="黑体" w:cs="黑体"/>
                <w:bCs/>
                <w:color w:val="000000"/>
                <w:kern w:val="0"/>
                <w:sz w:val="24"/>
                <w:lang w:bidi="ar"/>
              </w:rPr>
              <w:t>元/平米）</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显示颜色</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使用环境</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物理点间距（mm）</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亮度（nits）</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刷新率（Hz）</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对比度</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黑体" w:eastAsia="黑体" w:cs="黑体"/>
                <w:bCs/>
                <w:color w:val="000000"/>
                <w:kern w:val="0"/>
                <w:sz w:val="24"/>
                <w:lang w:bidi="ar"/>
              </w:rPr>
            </w:pPr>
            <w:r>
              <w:rPr>
                <w:rFonts w:hint="eastAsia" w:ascii="黑体" w:hAnsi="黑体" w:eastAsia="黑体" w:cs="黑体"/>
                <w:bCs/>
                <w:color w:val="000000"/>
                <w:kern w:val="0"/>
                <w:sz w:val="24"/>
                <w:lang w:bidi="ar"/>
              </w:rPr>
              <w:t>质保期</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楷体_GB2312" w:hAnsi="楷体_GB2312" w:eastAsia="楷体_GB2312" w:cs="楷体_GB2312"/>
                <w:bCs/>
                <w:color w:val="000000"/>
                <w:kern w:val="0"/>
                <w:sz w:val="24"/>
                <w:lang w:bidi="ar"/>
              </w:rPr>
            </w:pPr>
            <w:r>
              <w:rPr>
                <w:rFonts w:hint="eastAsia" w:ascii="楷体_GB2312" w:hAnsi="楷体_GB2312" w:eastAsia="楷体_GB2312" w:cs="楷体_GB2312"/>
                <w:bCs/>
                <w:color w:val="000000"/>
                <w:kern w:val="0"/>
                <w:sz w:val="24"/>
                <w:lang w:bidi="ar"/>
              </w:rPr>
              <w:t>包1</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0.9</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室外</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≤10.0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≥4000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6000：1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包2</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1.2</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室外</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≤8.0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≥4000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6000：1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1.2</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室内</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≤2.5</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≥500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8000：1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1.5</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室外</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≤5.0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≥4000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6000：1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5</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1.8</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室外</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≤4.0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≥4000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6000：1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2</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室外</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≥4000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6000：1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2</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室内</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≤2.0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≥500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8000：1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8</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2</w:t>
            </w:r>
            <w:r>
              <w:rPr>
                <w:rFonts w:hint="eastAsia" w:ascii="仿宋_GB2312" w:hAnsi="仿宋_GB2312" w:eastAsia="仿宋_GB2312" w:cs="仿宋_GB2312"/>
                <w:color w:val="000000"/>
                <w:kern w:val="0"/>
                <w:sz w:val="24"/>
                <w:lang w:val="en-US" w:eastAsia="zh-CN" w:bidi="ar"/>
              </w:rPr>
              <w:t>.</w:t>
            </w:r>
            <w:r>
              <w:rPr>
                <w:rFonts w:hint="eastAsia" w:ascii="仿宋_GB2312" w:hAnsi="仿宋_GB2312" w:eastAsia="仿宋_GB2312" w:cs="仿宋_GB2312"/>
                <w:color w:val="000000"/>
                <w:kern w:val="0"/>
                <w:sz w:val="24"/>
                <w:lang w:bidi="ar"/>
              </w:rPr>
              <w:t>5</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室外</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≤2.5</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≥4000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6000：1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9</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室内</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≤1.9</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≥500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8000：1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4</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室内</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≤1.6</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≥500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8000：1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11</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5</w:t>
            </w:r>
            <w:r>
              <w:rPr>
                <w:rFonts w:hint="eastAsia" w:ascii="仿宋_GB2312" w:hAnsi="仿宋_GB2312" w:eastAsia="仿宋_GB2312" w:cs="仿宋_GB2312"/>
                <w:color w:val="000000"/>
                <w:kern w:val="0"/>
                <w:sz w:val="24"/>
                <w:lang w:val="en-US" w:eastAsia="zh-CN" w:bidi="ar"/>
              </w:rPr>
              <w:t>.</w:t>
            </w:r>
            <w:r>
              <w:rPr>
                <w:rFonts w:hint="eastAsia" w:ascii="仿宋_GB2312" w:hAnsi="仿宋_GB2312" w:eastAsia="仿宋_GB2312" w:cs="仿宋_GB2312"/>
                <w:color w:val="000000"/>
                <w:kern w:val="0"/>
                <w:sz w:val="24"/>
                <w:lang w:bidi="ar"/>
              </w:rPr>
              <w:t>5</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室内</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≤1.6</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≥1000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8000：1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w:t>
            </w:r>
            <w:r>
              <w:rPr>
                <w:rFonts w:hint="eastAsia" w:ascii="楷体_GB2312" w:hAnsi="楷体_GB2312" w:eastAsia="楷体_GB2312" w:cs="楷体_GB2312"/>
                <w:bCs/>
                <w:color w:val="000000"/>
                <w:kern w:val="0"/>
                <w:sz w:val="24"/>
                <w:lang w:val="en-US" w:eastAsia="zh-CN" w:bidi="ar"/>
              </w:rPr>
              <w:t>1</w:t>
            </w:r>
            <w:r>
              <w:rPr>
                <w:rFonts w:hint="eastAsia" w:ascii="楷体_GB2312" w:hAnsi="楷体_GB2312" w:eastAsia="楷体_GB2312" w:cs="楷体_GB2312"/>
                <w:bCs/>
                <w:color w:val="000000"/>
                <w:kern w:val="0"/>
                <w:sz w:val="24"/>
                <w:lang w:bidi="ar"/>
              </w:rPr>
              <w:t>2</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6</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室内</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≤1.3</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≥500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10000：1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≥1年</w:t>
            </w:r>
          </w:p>
        </w:tc>
      </w:tr>
      <w:tr>
        <w:tblPrEx>
          <w:tblCellMar>
            <w:top w:w="0" w:type="dxa"/>
            <w:left w:w="0" w:type="dxa"/>
            <w:bottom w:w="0" w:type="dxa"/>
            <w:right w:w="0" w:type="dxa"/>
          </w:tblCellMar>
        </w:tblPrEx>
        <w:trPr>
          <w:trHeight w:val="285" w:hRule="atLeast"/>
        </w:trPr>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lang w:bidi="ar"/>
              </w:rPr>
              <w:t>包1</w:t>
            </w:r>
            <w:r>
              <w:rPr>
                <w:rFonts w:hint="eastAsia" w:ascii="楷体_GB2312" w:hAnsi="楷体_GB2312" w:eastAsia="楷体_GB2312" w:cs="楷体_GB2312"/>
                <w:bCs/>
                <w:color w:val="000000"/>
                <w:kern w:val="0"/>
                <w:sz w:val="24"/>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8</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全彩色显示屏</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室内</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≥500</w:t>
            </w:r>
          </w:p>
        </w:tc>
        <w:tc>
          <w:tcPr>
            <w:tcW w:w="10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≥3000</w:t>
            </w:r>
          </w:p>
        </w:tc>
        <w:tc>
          <w:tcPr>
            <w:tcW w:w="10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10000：1</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lang w:bidi="ar"/>
              </w:rPr>
              <w:t>≥1年</w:t>
            </w:r>
          </w:p>
        </w:tc>
      </w:tr>
    </w:tbl>
    <w:p>
      <w:pPr>
        <w:pStyle w:val="2"/>
        <w:tabs>
          <w:tab w:val="left" w:pos="756"/>
          <w:tab w:val="left" w:pos="966"/>
          <w:tab w:val="left" w:pos="1204"/>
          <w:tab w:val="left" w:pos="1442"/>
          <w:tab w:val="right" w:leader="dot" w:pos="9514"/>
        </w:tabs>
        <w:rPr>
          <w:rFonts w:hint="eastAsia"/>
          <w:lang w:val="en-US" w:eastAsia="zh-CN"/>
        </w:rPr>
      </w:pPr>
    </w:p>
    <w:p>
      <w:pPr>
        <w:numPr>
          <w:ilvl w:val="0"/>
          <w:numId w:val="4"/>
        </w:numPr>
        <w:spacing w:line="360" w:lineRule="auto"/>
        <w:ind w:left="5" w:leftChars="0" w:firstLine="415" w:firstLine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响应要求：供应商响应的货物和服务的技术、商务等条件不得低于采购需求，货物原则上应当是市场上已有销售的规格型号，不得是专供政府采购的产品。每个供应商根据分包要求每个分包只能提交一款LED显示屏进行响应，响应报价均为政策补贴后价格，须包含主体设备、相关配套软硬件设备、质保及其施工安装调试等全部工作内容</w:t>
      </w:r>
      <w:r>
        <w:rPr>
          <w:rFonts w:hint="eastAsia" w:ascii="仿宋" w:hAnsi="仿宋" w:eastAsia="仿宋" w:cs="宋体"/>
          <w:b w:val="0"/>
          <w:bCs/>
          <w:color w:val="auto"/>
          <w:sz w:val="24"/>
          <w:szCs w:val="24"/>
          <w:highlight w:val="none"/>
          <w:lang w:val="en-US" w:eastAsia="zh-CN"/>
        </w:rPr>
        <w:t>。</w:t>
      </w:r>
    </w:p>
    <w:p>
      <w:pPr>
        <w:numPr>
          <w:ilvl w:val="0"/>
          <w:numId w:val="4"/>
        </w:numPr>
        <w:spacing w:line="360" w:lineRule="auto"/>
        <w:ind w:left="5" w:leftChars="0" w:firstLine="415" w:firstLine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供应商响应产品需要提供技术参数如下：</w:t>
      </w:r>
    </w:p>
    <w:tbl>
      <w:tblPr>
        <w:tblStyle w:val="11"/>
        <w:tblW w:w="8686" w:type="dxa"/>
        <w:jc w:val="center"/>
        <w:tblLayout w:type="fixed"/>
        <w:tblCellMar>
          <w:top w:w="0" w:type="dxa"/>
          <w:left w:w="108" w:type="dxa"/>
          <w:bottom w:w="0" w:type="dxa"/>
          <w:right w:w="108" w:type="dxa"/>
        </w:tblCellMar>
      </w:tblPr>
      <w:tblGrid>
        <w:gridCol w:w="754"/>
        <w:gridCol w:w="1859"/>
        <w:gridCol w:w="3044"/>
        <w:gridCol w:w="3029"/>
      </w:tblGrid>
      <w:tr>
        <w:tblPrEx>
          <w:tblCellMar>
            <w:top w:w="0" w:type="dxa"/>
            <w:left w:w="108" w:type="dxa"/>
            <w:bottom w:w="0" w:type="dxa"/>
            <w:right w:w="108" w:type="dxa"/>
          </w:tblCellMar>
        </w:tblPrEx>
        <w:trPr>
          <w:trHeight w:val="285" w:hRule="atLeast"/>
          <w:jc w:val="center"/>
        </w:trPr>
        <w:tc>
          <w:tcPr>
            <w:tcW w:w="754"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序号</w:t>
            </w:r>
          </w:p>
        </w:tc>
        <w:tc>
          <w:tcPr>
            <w:tcW w:w="1859"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参数项</w:t>
            </w:r>
          </w:p>
        </w:tc>
        <w:tc>
          <w:tcPr>
            <w:tcW w:w="3044"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rPr>
              <w:t>参数值</w:t>
            </w:r>
            <w:r>
              <w:rPr>
                <w:rFonts w:hint="eastAsia" w:ascii="仿宋" w:hAnsi="仿宋" w:eastAsia="仿宋" w:cs="仿宋"/>
                <w:b/>
                <w:bCs/>
                <w:color w:val="auto"/>
                <w:kern w:val="0"/>
                <w:sz w:val="24"/>
                <w:szCs w:val="24"/>
                <w:highlight w:val="none"/>
                <w:lang w:eastAsia="zh-CN"/>
              </w:rPr>
              <w:t>（示例）</w:t>
            </w:r>
          </w:p>
        </w:tc>
        <w:tc>
          <w:tcPr>
            <w:tcW w:w="3029"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响应要求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i w:val="0"/>
                <w:color w:val="000000"/>
                <w:kern w:val="0"/>
                <w:sz w:val="24"/>
                <w:szCs w:val="24"/>
                <w:highlight w:val="none"/>
                <w:u w:val="none"/>
                <w:lang w:val="en-US" w:eastAsia="zh-CN" w:bidi="ar"/>
              </w:rPr>
              <w:t>1</w:t>
            </w:r>
          </w:p>
        </w:tc>
        <w:tc>
          <w:tcPr>
            <w:tcW w:w="1859"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品牌</w:t>
            </w:r>
          </w:p>
        </w:tc>
        <w:tc>
          <w:tcPr>
            <w:tcW w:w="3044"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　</w:t>
            </w:r>
          </w:p>
        </w:tc>
        <w:tc>
          <w:tcPr>
            <w:tcW w:w="3029"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highlight w:val="none"/>
              </w:rPr>
            </w:pPr>
            <w:r>
              <w:rPr>
                <w:rFonts w:hint="eastAsia" w:ascii="仿宋" w:hAnsi="仿宋" w:eastAsia="仿宋" w:cs="仿宋"/>
                <w:i w:val="0"/>
                <w:color w:val="000000"/>
                <w:kern w:val="0"/>
                <w:sz w:val="24"/>
                <w:szCs w:val="24"/>
                <w:highlight w:val="none"/>
                <w:u w:val="none"/>
                <w:lang w:val="en-US" w:eastAsia="zh-CN" w:bidi="ar"/>
              </w:rPr>
              <w:t>2</w:t>
            </w:r>
          </w:p>
        </w:tc>
        <w:tc>
          <w:tcPr>
            <w:tcW w:w="1859"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型号</w:t>
            </w:r>
          </w:p>
        </w:tc>
        <w:tc>
          <w:tcPr>
            <w:tcW w:w="3044"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　</w:t>
            </w:r>
          </w:p>
        </w:tc>
        <w:tc>
          <w:tcPr>
            <w:tcW w:w="3029"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highlight w:val="none"/>
              </w:rPr>
            </w:pPr>
            <w:r>
              <w:rPr>
                <w:rFonts w:hint="eastAsia" w:ascii="仿宋" w:hAnsi="仿宋" w:eastAsia="仿宋" w:cs="仿宋"/>
                <w:i w:val="0"/>
                <w:color w:val="000000"/>
                <w:kern w:val="0"/>
                <w:sz w:val="24"/>
                <w:szCs w:val="24"/>
                <w:highlight w:val="none"/>
                <w:u w:val="none"/>
                <w:lang w:val="en-US" w:eastAsia="zh-CN" w:bidi="ar"/>
              </w:rPr>
              <w:t>3</w:t>
            </w:r>
          </w:p>
        </w:tc>
        <w:tc>
          <w:tcPr>
            <w:tcW w:w="1859"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价格</w:t>
            </w:r>
            <w:r>
              <w:rPr>
                <w:rFonts w:hint="eastAsia" w:ascii="仿宋" w:hAnsi="仿宋" w:eastAsia="仿宋" w:cs="仿宋"/>
                <w:b/>
                <w:i w:val="0"/>
                <w:color w:val="000000"/>
                <w:kern w:val="0"/>
                <w:sz w:val="24"/>
                <w:szCs w:val="24"/>
                <w:u w:val="none"/>
                <w:lang w:val="en-US" w:eastAsia="zh-CN" w:bidi="ar"/>
              </w:rPr>
              <w:t>（万元/平米）</w:t>
            </w:r>
          </w:p>
        </w:tc>
        <w:tc>
          <w:tcPr>
            <w:tcW w:w="3044"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不得高于最高限价</w:t>
            </w:r>
          </w:p>
        </w:tc>
        <w:tc>
          <w:tcPr>
            <w:tcW w:w="3029"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87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highlight w:val="none"/>
              </w:rPr>
            </w:pPr>
            <w:r>
              <w:rPr>
                <w:rFonts w:hint="eastAsia" w:ascii="仿宋" w:hAnsi="仿宋" w:eastAsia="仿宋" w:cs="仿宋"/>
                <w:i w:val="0"/>
                <w:color w:val="000000"/>
                <w:kern w:val="0"/>
                <w:sz w:val="24"/>
                <w:szCs w:val="24"/>
                <w:highlight w:val="none"/>
                <w:u w:val="none"/>
                <w:lang w:val="en-US" w:eastAsia="zh-CN" w:bidi="ar"/>
              </w:rPr>
              <w:t>4</w:t>
            </w:r>
          </w:p>
        </w:tc>
        <w:tc>
          <w:tcPr>
            <w:tcW w:w="1859"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textAlignment w:val="bottom"/>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显示颜色</w:t>
            </w:r>
          </w:p>
        </w:tc>
        <w:tc>
          <w:tcPr>
            <w:tcW w:w="3044" w:type="dxa"/>
            <w:tcBorders>
              <w:top w:val="nil"/>
              <w:left w:val="nil"/>
              <w:bottom w:val="single" w:color="auto" w:sz="8" w:space="0"/>
              <w:right w:val="single" w:color="auto" w:sz="8" w:space="0"/>
            </w:tcBorders>
            <w:shd w:val="clear" w:color="auto" w:fill="auto"/>
            <w:vAlign w:val="center"/>
          </w:tcPr>
          <w:p>
            <w:pPr>
              <w:widowControl/>
              <w:spacing w:line="360" w:lineRule="auto"/>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单基色显示屏、双基色显示屏、全彩色显示屏等</w:t>
            </w:r>
          </w:p>
        </w:tc>
        <w:tc>
          <w:tcPr>
            <w:tcW w:w="3029"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kern w:val="0"/>
                <w:sz w:val="24"/>
                <w:szCs w:val="24"/>
                <w:highlight w:val="none"/>
              </w:rPr>
            </w:pPr>
            <w:r>
              <w:rPr>
                <w:rFonts w:hint="eastAsia" w:ascii="仿宋" w:hAnsi="仿宋" w:eastAsia="仿宋" w:cs="仿宋"/>
                <w:i w:val="0"/>
                <w:color w:val="000000"/>
                <w:kern w:val="0"/>
                <w:sz w:val="24"/>
                <w:szCs w:val="24"/>
                <w:highlight w:val="none"/>
                <w:u w:val="none"/>
                <w:lang w:val="en-US" w:eastAsia="zh-CN" w:bidi="ar"/>
              </w:rPr>
              <w:t>5</w:t>
            </w:r>
          </w:p>
        </w:tc>
        <w:tc>
          <w:tcPr>
            <w:tcW w:w="1859"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textAlignment w:val="bottom"/>
              <w:rPr>
                <w:rFonts w:hint="eastAsia" w:ascii="仿宋" w:hAnsi="仿宋" w:eastAsia="仿宋" w:cs="仿宋"/>
                <w:color w:val="auto"/>
                <w:kern w:val="0"/>
                <w:sz w:val="24"/>
                <w:szCs w:val="24"/>
                <w:highlight w:val="none"/>
                <w:lang w:eastAsia="zh-CN"/>
              </w:rPr>
            </w:pPr>
            <w:r>
              <w:rPr>
                <w:rFonts w:hint="eastAsia" w:ascii="仿宋" w:hAnsi="仿宋" w:eastAsia="仿宋" w:cs="仿宋"/>
                <w:color w:val="0D0D0D" w:themeColor="text1" w:themeTint="F2"/>
                <w:kern w:val="0"/>
                <w:sz w:val="24"/>
                <w:szCs w:val="24"/>
                <w:highlight w:val="none"/>
                <w:lang w:eastAsia="zh-CN" w:bidi="ar"/>
                <w14:textFill>
                  <w14:solidFill>
                    <w14:schemeClr w14:val="tx1">
                      <w14:lumMod w14:val="95000"/>
                      <w14:lumOff w14:val="5000"/>
                    </w14:schemeClr>
                  </w14:solidFill>
                </w14:textFill>
              </w:rPr>
              <w:t>使用环境</w:t>
            </w:r>
          </w:p>
        </w:tc>
        <w:tc>
          <w:tcPr>
            <w:tcW w:w="3044"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室内、室外等</w:t>
            </w:r>
          </w:p>
        </w:tc>
        <w:tc>
          <w:tcPr>
            <w:tcW w:w="3029" w:type="dxa"/>
            <w:tcBorders>
              <w:top w:val="nil"/>
              <w:left w:val="nil"/>
              <w:bottom w:val="single" w:color="auto" w:sz="8"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90" w:hRule="atLeast"/>
          <w:jc w:val="center"/>
        </w:trPr>
        <w:tc>
          <w:tcPr>
            <w:tcW w:w="754"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6</w:t>
            </w:r>
          </w:p>
        </w:tc>
        <w:tc>
          <w:tcPr>
            <w:tcW w:w="1859"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textAlignment w:val="bottom"/>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0D0D0D" w:themeColor="text1" w:themeTint="F2"/>
                <w:kern w:val="0"/>
                <w:sz w:val="24"/>
                <w:szCs w:val="24"/>
                <w:highlight w:val="none"/>
                <w:lang w:eastAsia="zh-CN" w:bidi="ar"/>
                <w14:textFill>
                  <w14:solidFill>
                    <w14:schemeClr w14:val="tx1">
                      <w14:lumMod w14:val="95000"/>
                      <w14:lumOff w14:val="5000"/>
                    </w14:schemeClr>
                  </w14:solidFill>
                </w14:textFill>
              </w:rPr>
              <w:t>物理点间距（</w:t>
            </w:r>
            <w:r>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t>mm</w:t>
            </w:r>
            <w:r>
              <w:rPr>
                <w:rFonts w:hint="eastAsia" w:ascii="仿宋" w:hAnsi="仿宋" w:eastAsia="仿宋" w:cs="仿宋"/>
                <w:color w:val="0D0D0D" w:themeColor="text1" w:themeTint="F2"/>
                <w:kern w:val="0"/>
                <w:sz w:val="24"/>
                <w:szCs w:val="24"/>
                <w:highlight w:val="none"/>
                <w:lang w:eastAsia="zh-CN" w:bidi="ar"/>
                <w14:textFill>
                  <w14:solidFill>
                    <w14:schemeClr w14:val="tx1">
                      <w14:lumMod w14:val="95000"/>
                      <w14:lumOff w14:val="5000"/>
                    </w14:schemeClr>
                  </w14:solidFill>
                </w14:textFill>
              </w:rPr>
              <w:t>）</w:t>
            </w:r>
          </w:p>
        </w:tc>
        <w:tc>
          <w:tcPr>
            <w:tcW w:w="3044"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0.9、1.2、1.5、1.8、2.0、2.5、3、4、5、10等</w:t>
            </w:r>
          </w:p>
        </w:tc>
        <w:tc>
          <w:tcPr>
            <w:tcW w:w="3029" w:type="dxa"/>
            <w:tcBorders>
              <w:top w:val="nil"/>
              <w:left w:val="nil"/>
              <w:bottom w:val="single" w:color="auto" w:sz="8" w:space="0"/>
              <w:right w:val="single" w:color="auto" w:sz="8" w:space="0"/>
            </w:tcBorders>
            <w:shd w:val="clear" w:color="auto" w:fill="auto"/>
            <w:vAlign w:val="center"/>
          </w:tcPr>
          <w:p>
            <w:pPr>
              <w:widowControl/>
              <w:spacing w:line="360" w:lineRule="auto"/>
              <w:jc w:val="both"/>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7</w:t>
            </w:r>
          </w:p>
        </w:tc>
        <w:tc>
          <w:tcPr>
            <w:tcW w:w="1859" w:type="dxa"/>
            <w:tcBorders>
              <w:top w:val="nil"/>
              <w:left w:val="nil"/>
              <w:bottom w:val="single" w:color="auto" w:sz="4" w:space="0"/>
              <w:right w:val="single" w:color="auto" w:sz="8" w:space="0"/>
            </w:tcBorders>
            <w:shd w:val="clear" w:color="auto" w:fill="auto"/>
            <w:noWrap/>
            <w:vAlign w:val="center"/>
          </w:tcPr>
          <w:p>
            <w:pPr>
              <w:widowControl/>
              <w:spacing w:line="360" w:lineRule="auto"/>
              <w:jc w:val="center"/>
              <w:textAlignment w:val="bottom"/>
              <w:rPr>
                <w:rFonts w:hint="default" w:ascii="仿宋" w:hAnsi="仿宋" w:eastAsia="仿宋" w:cs="仿宋"/>
                <w:i w:val="0"/>
                <w:color w:val="0C0C0C"/>
                <w:kern w:val="0"/>
                <w:sz w:val="24"/>
                <w:szCs w:val="24"/>
                <w:highlight w:val="none"/>
                <w:u w:val="none"/>
                <w:lang w:val="en-US" w:eastAsia="zh-CN" w:bidi="ar"/>
              </w:rPr>
            </w:pPr>
            <w:r>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t>亮度</w:t>
            </w:r>
            <w:r>
              <w:rPr>
                <w:rFonts w:hint="eastAsia" w:ascii="仿宋" w:hAnsi="仿宋" w:eastAsia="仿宋" w:cs="仿宋"/>
                <w:color w:val="0D0D0D" w:themeColor="text1" w:themeTint="F2"/>
                <w:kern w:val="0"/>
                <w:sz w:val="24"/>
                <w:szCs w:val="24"/>
                <w:highlight w:val="none"/>
                <w:lang w:eastAsia="zh-CN" w:bidi="ar"/>
                <w14:textFill>
                  <w14:solidFill>
                    <w14:schemeClr w14:val="tx1">
                      <w14:lumMod w14:val="95000"/>
                      <w14:lumOff w14:val="5000"/>
                    </w14:schemeClr>
                  </w14:solidFill>
                </w14:textFill>
              </w:rPr>
              <w:t>（nits）</w:t>
            </w:r>
          </w:p>
        </w:tc>
        <w:tc>
          <w:tcPr>
            <w:tcW w:w="3044" w:type="dxa"/>
            <w:tcBorders>
              <w:top w:val="nil"/>
              <w:left w:val="nil"/>
              <w:bottom w:val="single" w:color="auto" w:sz="4"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eastAsia="zh-CN"/>
              </w:rPr>
            </w:pPr>
          </w:p>
        </w:tc>
        <w:tc>
          <w:tcPr>
            <w:tcW w:w="3029" w:type="dxa"/>
            <w:tcBorders>
              <w:top w:val="nil"/>
              <w:left w:val="nil"/>
              <w:bottom w:val="single" w:color="auto" w:sz="4" w:space="0"/>
              <w:right w:val="single" w:color="auto" w:sz="8" w:space="0"/>
            </w:tcBorders>
            <w:shd w:val="clear" w:color="auto" w:fill="auto"/>
            <w:vAlign w:val="bottom"/>
          </w:tcPr>
          <w:p>
            <w:pPr>
              <w:widowControl/>
              <w:spacing w:line="360" w:lineRule="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8</w:t>
            </w:r>
          </w:p>
        </w:tc>
        <w:tc>
          <w:tcPr>
            <w:tcW w:w="1859" w:type="dxa"/>
            <w:tcBorders>
              <w:top w:val="nil"/>
              <w:left w:val="nil"/>
              <w:bottom w:val="single" w:color="auto" w:sz="4" w:space="0"/>
              <w:right w:val="single" w:color="auto" w:sz="8" w:space="0"/>
            </w:tcBorders>
            <w:shd w:val="clear" w:color="auto" w:fill="auto"/>
            <w:noWrap/>
            <w:vAlign w:val="center"/>
          </w:tcPr>
          <w:p>
            <w:pPr>
              <w:widowControl/>
              <w:spacing w:line="360" w:lineRule="auto"/>
              <w:jc w:val="center"/>
              <w:textAlignment w:val="bottom"/>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t>刷新率（Hz）</w:t>
            </w:r>
          </w:p>
        </w:tc>
        <w:tc>
          <w:tcPr>
            <w:tcW w:w="3044" w:type="dxa"/>
            <w:tcBorders>
              <w:top w:val="nil"/>
              <w:left w:val="nil"/>
              <w:bottom w:val="single" w:color="auto" w:sz="4"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bidi="ar-SA"/>
              </w:rPr>
            </w:pPr>
          </w:p>
        </w:tc>
        <w:tc>
          <w:tcPr>
            <w:tcW w:w="3029" w:type="dxa"/>
            <w:tcBorders>
              <w:top w:val="nil"/>
              <w:left w:val="nil"/>
              <w:bottom w:val="single" w:color="auto" w:sz="4"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nil"/>
              <w:left w:val="single" w:color="auto" w:sz="8" w:space="0"/>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9</w:t>
            </w:r>
          </w:p>
        </w:tc>
        <w:tc>
          <w:tcPr>
            <w:tcW w:w="1859" w:type="dxa"/>
            <w:tcBorders>
              <w:top w:val="nil"/>
              <w:left w:val="nil"/>
              <w:bottom w:val="single" w:color="auto" w:sz="4" w:space="0"/>
              <w:right w:val="single" w:color="auto" w:sz="8" w:space="0"/>
            </w:tcBorders>
            <w:shd w:val="clear" w:color="auto" w:fill="auto"/>
            <w:noWrap/>
            <w:vAlign w:val="center"/>
          </w:tcPr>
          <w:p>
            <w:pPr>
              <w:widowControl/>
              <w:spacing w:line="360" w:lineRule="auto"/>
              <w:jc w:val="center"/>
              <w:textAlignment w:val="bottom"/>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t>对比度</w:t>
            </w:r>
          </w:p>
        </w:tc>
        <w:tc>
          <w:tcPr>
            <w:tcW w:w="3044" w:type="dxa"/>
            <w:tcBorders>
              <w:top w:val="nil"/>
              <w:left w:val="nil"/>
              <w:bottom w:val="single" w:color="auto" w:sz="4" w:space="0"/>
              <w:right w:val="single" w:color="auto" w:sz="8"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bidi="ar-SA"/>
              </w:rPr>
            </w:pPr>
          </w:p>
        </w:tc>
        <w:tc>
          <w:tcPr>
            <w:tcW w:w="3029" w:type="dxa"/>
            <w:tcBorders>
              <w:top w:val="nil"/>
              <w:left w:val="nil"/>
              <w:bottom w:val="single" w:color="auto" w:sz="4" w:space="0"/>
              <w:right w:val="single" w:color="auto" w:sz="8"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eastAsia="zh-CN"/>
              </w:rPr>
              <w:t>满足各分包要求</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rPr>
            </w:pPr>
            <w:r>
              <w:rPr>
                <w:rFonts w:hint="eastAsia" w:ascii="仿宋" w:hAnsi="仿宋" w:eastAsia="仿宋" w:cs="仿宋"/>
                <w:i w:val="0"/>
                <w:color w:val="000000"/>
                <w:kern w:val="0"/>
                <w:sz w:val="24"/>
                <w:szCs w:val="24"/>
                <w:highlight w:val="none"/>
                <w:u w:val="none"/>
                <w:lang w:val="en-US" w:eastAsia="zh-CN" w:bidi="ar"/>
              </w:rPr>
              <w:t>10</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textAlignment w:val="bottom"/>
              <w:rPr>
                <w:rFonts w:hint="default"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维护方式</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前维护、后维护等</w:t>
            </w:r>
          </w:p>
        </w:tc>
        <w:tc>
          <w:tcPr>
            <w:tcW w:w="3029"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rPr>
            </w:pPr>
            <w:r>
              <w:rPr>
                <w:rFonts w:hint="eastAsia" w:ascii="仿宋" w:hAnsi="仿宋" w:eastAsia="仿宋" w:cs="仿宋"/>
                <w:i w:val="0"/>
                <w:color w:val="000000"/>
                <w:kern w:val="0"/>
                <w:sz w:val="24"/>
                <w:szCs w:val="24"/>
                <w:highlight w:val="none"/>
                <w:u w:val="none"/>
                <w:lang w:val="en-US" w:eastAsia="zh-CN" w:bidi="ar"/>
              </w:rPr>
              <w:t>11</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textAlignment w:val="bottom"/>
              <w:rPr>
                <w:rFonts w:hint="eastAsia" w:ascii="仿宋" w:hAnsi="仿宋" w:eastAsia="仿宋" w:cs="仿宋"/>
                <w:i w:val="0"/>
                <w:color w:val="0C0C0C"/>
                <w:kern w:val="0"/>
                <w:sz w:val="24"/>
                <w:szCs w:val="24"/>
                <w:highlight w:val="none"/>
                <w:u w:val="none"/>
                <w:lang w:val="en-US" w:eastAsia="zh-CN" w:bidi="ar"/>
              </w:rPr>
            </w:pPr>
            <w:r>
              <w:rPr>
                <w:rFonts w:hint="eastAsia" w:ascii="仿宋" w:hAnsi="仿宋" w:eastAsia="仿宋" w:cs="仿宋"/>
                <w:color w:val="0D0D0D" w:themeColor="text1" w:themeTint="F2"/>
                <w:kern w:val="0"/>
                <w:sz w:val="24"/>
                <w:szCs w:val="24"/>
                <w:highlight w:val="none"/>
                <w:lang w:eastAsia="zh-CN" w:bidi="ar"/>
                <w14:textFill>
                  <w14:solidFill>
                    <w14:schemeClr w14:val="tx1">
                      <w14:lumMod w14:val="95000"/>
                      <w14:lumOff w14:val="5000"/>
                    </w14:schemeClr>
                  </w14:solidFill>
                </w14:textFill>
              </w:rPr>
              <w:t>是否箱体</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p>
        </w:tc>
        <w:tc>
          <w:tcPr>
            <w:tcW w:w="3029"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12</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textAlignment w:val="bottom"/>
              <w:rPr>
                <w:rFonts w:hint="eastAsia" w:ascii="仿宋" w:hAnsi="仿宋" w:eastAsia="仿宋" w:cs="仿宋"/>
                <w:color w:val="0D0D0D" w:themeColor="text1" w:themeTint="F2"/>
                <w:kern w:val="0"/>
                <w:sz w:val="24"/>
                <w:szCs w:val="24"/>
                <w:highlight w:val="none"/>
                <w:lang w:eastAsia="zh-CN"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highlight w:val="none"/>
                <w:lang w:eastAsia="zh-CN" w:bidi="ar"/>
                <w14:textFill>
                  <w14:solidFill>
                    <w14:schemeClr w14:val="tx1">
                      <w14:lumMod w14:val="95000"/>
                      <w14:lumOff w14:val="5000"/>
                    </w14:schemeClr>
                  </w14:solidFill>
                </w14:textFill>
              </w:rPr>
              <w:t>封装工艺</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SMD、COB、IMD等</w:t>
            </w:r>
          </w:p>
        </w:tc>
        <w:tc>
          <w:tcPr>
            <w:tcW w:w="3029"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highlight w:val="none"/>
                <w:u w:val="none"/>
                <w:lang w:val="en-US" w:eastAsia="zh-CN" w:bidi="ar"/>
              </w:rPr>
            </w:pPr>
            <w:r>
              <w:rPr>
                <w:rFonts w:hint="eastAsia" w:ascii="仿宋" w:hAnsi="仿宋" w:eastAsia="仿宋" w:cs="仿宋"/>
                <w:i w:val="0"/>
                <w:color w:val="000000"/>
                <w:kern w:val="0"/>
                <w:sz w:val="24"/>
                <w:szCs w:val="24"/>
                <w:highlight w:val="none"/>
                <w:u w:val="none"/>
                <w:lang w:val="en-US" w:eastAsia="zh-CN" w:bidi="ar"/>
              </w:rPr>
              <w:t>13</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textAlignment w:val="bottom"/>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4"/>
                <w:szCs w:val="24"/>
                <w:highlight w:val="none"/>
                <w:lang w:val="en-US" w:eastAsia="zh-CN" w:bidi="ar"/>
                <w14:textFill>
                  <w14:solidFill>
                    <w14:schemeClr w14:val="tx1">
                      <w14:lumMod w14:val="95000"/>
                      <w14:lumOff w14:val="5000"/>
                    </w14:schemeClr>
                  </w14:solidFill>
                </w14:textFill>
              </w:rPr>
              <w:t>可视角</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160°(H)/160°(V)等</w:t>
            </w:r>
          </w:p>
        </w:tc>
        <w:tc>
          <w:tcPr>
            <w:tcW w:w="3029"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14</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节能产品认证证书号</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360" w:lineRule="auto"/>
              <w:rPr>
                <w:rFonts w:hint="eastAsia" w:ascii="仿宋" w:hAnsi="仿宋" w:eastAsia="仿宋" w:cs="仿宋"/>
                <w:b w:val="0"/>
                <w:bCs w:val="0"/>
                <w:color w:val="auto"/>
                <w:kern w:val="0"/>
                <w:sz w:val="24"/>
                <w:szCs w:val="24"/>
                <w:highlight w:val="none"/>
                <w:lang w:eastAsia="zh-CN"/>
              </w:rPr>
            </w:pPr>
          </w:p>
        </w:tc>
        <w:tc>
          <w:tcPr>
            <w:tcW w:w="3029"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15</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节能产品认证证书有效期</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eastAsia="zh-CN"/>
              </w:rPr>
            </w:pPr>
          </w:p>
        </w:tc>
        <w:tc>
          <w:tcPr>
            <w:tcW w:w="30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16</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环境标志产品认证证书号</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eastAsia="zh-CN"/>
              </w:rPr>
            </w:pPr>
          </w:p>
        </w:tc>
        <w:tc>
          <w:tcPr>
            <w:tcW w:w="30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rPr>
            </w:pPr>
            <w:r>
              <w:rPr>
                <w:rFonts w:hint="eastAsia" w:ascii="仿宋" w:hAnsi="仿宋" w:eastAsia="仿宋" w:cs="仿宋"/>
                <w:i w:val="0"/>
                <w:color w:val="000000"/>
                <w:kern w:val="0"/>
                <w:sz w:val="24"/>
                <w:szCs w:val="24"/>
                <w:highlight w:val="none"/>
                <w:u w:val="none"/>
                <w:lang w:val="en-US" w:eastAsia="zh-CN" w:bidi="ar"/>
              </w:rPr>
              <w:t>17</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i w:val="0"/>
                <w:color w:val="0C0C0C"/>
                <w:kern w:val="0"/>
                <w:sz w:val="24"/>
                <w:szCs w:val="24"/>
                <w:highlight w:val="none"/>
                <w:u w:val="none"/>
                <w:lang w:val="en-US" w:eastAsia="zh-CN" w:bidi="ar"/>
              </w:rPr>
            </w:pPr>
            <w:r>
              <w:rPr>
                <w:rFonts w:hint="eastAsia" w:ascii="仿宋" w:hAnsi="仿宋" w:eastAsia="仿宋" w:cs="仿宋"/>
                <w:i w:val="0"/>
                <w:color w:val="0C0C0C"/>
                <w:kern w:val="0"/>
                <w:sz w:val="24"/>
                <w:szCs w:val="24"/>
                <w:highlight w:val="none"/>
                <w:u w:val="none"/>
                <w:lang w:val="en-US" w:eastAsia="zh-CN" w:bidi="ar"/>
              </w:rPr>
              <w:t>环境标志产品认证证书有效期</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　</w:t>
            </w:r>
          </w:p>
        </w:tc>
        <w:tc>
          <w:tcPr>
            <w:tcW w:w="30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rPr>
            </w:pPr>
            <w:r>
              <w:rPr>
                <w:rFonts w:hint="eastAsia" w:ascii="仿宋" w:hAnsi="仿宋" w:eastAsia="仿宋" w:cs="仿宋"/>
                <w:i w:val="0"/>
                <w:color w:val="000000"/>
                <w:kern w:val="0"/>
                <w:sz w:val="24"/>
                <w:szCs w:val="24"/>
                <w:highlight w:val="none"/>
                <w:u w:val="none"/>
                <w:lang w:val="en-US" w:eastAsia="zh-CN" w:bidi="ar"/>
              </w:rPr>
              <w:t>18</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rPr>
            </w:pPr>
            <w:r>
              <w:rPr>
                <w:rFonts w:hint="eastAsia" w:ascii="仿宋" w:hAnsi="仿宋" w:eastAsia="仿宋" w:cs="仿宋"/>
                <w:i w:val="0"/>
                <w:color w:val="0C0C0C"/>
                <w:kern w:val="0"/>
                <w:sz w:val="24"/>
                <w:szCs w:val="24"/>
                <w:highlight w:val="none"/>
                <w:u w:val="none"/>
                <w:lang w:val="en-US" w:eastAsia="zh-CN" w:bidi="ar"/>
              </w:rPr>
              <w:t>质保期限（年）</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　</w:t>
            </w:r>
          </w:p>
        </w:tc>
        <w:tc>
          <w:tcPr>
            <w:tcW w:w="30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rPr>
            </w:pPr>
            <w:r>
              <w:rPr>
                <w:rFonts w:hint="eastAsia" w:ascii="仿宋" w:hAnsi="仿宋" w:eastAsia="仿宋" w:cs="仿宋"/>
                <w:i w:val="0"/>
                <w:color w:val="000000"/>
                <w:kern w:val="0"/>
                <w:sz w:val="24"/>
                <w:szCs w:val="24"/>
                <w:highlight w:val="none"/>
                <w:u w:val="none"/>
                <w:lang w:val="en-US" w:eastAsia="zh-CN" w:bidi="ar"/>
              </w:rPr>
              <w:t>19</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i w:val="0"/>
                <w:color w:val="0C0C0C"/>
                <w:kern w:val="0"/>
                <w:sz w:val="24"/>
                <w:szCs w:val="24"/>
                <w:highlight w:val="none"/>
                <w:u w:val="none"/>
                <w:lang w:val="en-US" w:eastAsia="zh-CN" w:bidi="ar"/>
              </w:rPr>
              <w:t>包装清单</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eastAsia="zh-CN"/>
              </w:rPr>
              <w:t>　</w:t>
            </w:r>
          </w:p>
        </w:tc>
        <w:tc>
          <w:tcPr>
            <w:tcW w:w="30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r>
        <w:tblPrEx>
          <w:tblCellMar>
            <w:top w:w="0" w:type="dxa"/>
            <w:left w:w="108" w:type="dxa"/>
            <w:bottom w:w="0" w:type="dxa"/>
            <w:right w:w="108" w:type="dxa"/>
          </w:tblCellMar>
        </w:tblPrEx>
        <w:trPr>
          <w:trHeight w:val="300" w:hRule="atLeast"/>
          <w:jc w:val="center"/>
        </w:trPr>
        <w:tc>
          <w:tcPr>
            <w:tcW w:w="7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20</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bottom"/>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i w:val="0"/>
                <w:color w:val="0C0C0C"/>
                <w:kern w:val="0"/>
                <w:sz w:val="24"/>
                <w:szCs w:val="24"/>
                <w:highlight w:val="none"/>
                <w:u w:val="none"/>
                <w:lang w:val="en-US" w:eastAsia="zh-CN" w:bidi="ar"/>
              </w:rPr>
              <w:t>售后服务</w:t>
            </w:r>
          </w:p>
        </w:tc>
        <w:tc>
          <w:tcPr>
            <w:tcW w:w="3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　</w:t>
            </w:r>
          </w:p>
        </w:tc>
        <w:tc>
          <w:tcPr>
            <w:tcW w:w="30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根据所响应的</w:t>
            </w:r>
            <w:r>
              <w:rPr>
                <w:rFonts w:hint="eastAsia" w:ascii="仿宋" w:hAnsi="仿宋" w:eastAsia="仿宋" w:cs="仿宋"/>
                <w:color w:val="auto"/>
                <w:kern w:val="0"/>
                <w:sz w:val="24"/>
                <w:szCs w:val="24"/>
                <w:highlight w:val="none"/>
                <w:lang w:eastAsia="zh-CN"/>
              </w:rPr>
              <w:t>LED显示屏</w:t>
            </w:r>
            <w:r>
              <w:rPr>
                <w:rFonts w:hint="eastAsia" w:ascii="仿宋" w:hAnsi="仿宋" w:eastAsia="仿宋" w:cs="仿宋"/>
                <w:color w:val="auto"/>
                <w:kern w:val="0"/>
                <w:sz w:val="24"/>
                <w:szCs w:val="24"/>
                <w:highlight w:val="none"/>
              </w:rPr>
              <w:t>情况填报</w:t>
            </w:r>
          </w:p>
        </w:tc>
      </w:tr>
    </w:tbl>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服务标准</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保证本次框架协议产品入围价是真实的，可考量的，接受征集人的监督、检查。</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保证所提供的货物是全新、未使用过的原装合格正品,并且符合国家有关质量技术标准及相关法律、法规规定的要求。</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保证鄂州市各采购人优先享受各项服务。</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针对本项目成立服务小组，指派专人负责日常管理及联络工作。</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入围供应商应建立采购人对产品代理商投诉及处理台帐，记录投诉内容及协调处理方法，有效督促产品代理商严格履约。</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提供技术服务热线，负责解答采购人在使用中遇到的问题，并及时解决问题和提供远程操作方法。</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服从征集人管理</w:t>
      </w:r>
      <w:r>
        <w:rPr>
          <w:rFonts w:hint="eastAsia" w:ascii="仿宋" w:hAnsi="仿宋" w:eastAsia="仿宋" w:cs="宋体"/>
          <w:b w:val="0"/>
          <w:bCs/>
          <w:color w:val="auto"/>
          <w:sz w:val="24"/>
          <w:szCs w:val="24"/>
          <w:highlight w:val="none"/>
          <w:lang w:eastAsia="zh-CN"/>
        </w:rPr>
        <w:t>要求，通过鄂州市政府采购框架协议电子平台执行本次框架协议采购合同</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协助有关部门做好廉政工作，防止腐败现象的出现。</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供应商提供的其他服务承诺（如维修保养等）。</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入围供应商应按照框架协议管理相关规定，主动配合征集人和财政部门的管理，按照相关的要求实施框架协议采购，并应做好入围产品的信息维护、代理商履约管理等工作。</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交货时间地点：授予合同之日起30日内或者根据合同约定时间和地点交货并完成安装调试。</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货物的运输、安装、调试等应符合安全管理规定，并严格执行安全操作。</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作业人员应经过安全教育和技术操作培训，特殊工种的作业人员应具有相应的技术资质证书。</w:t>
      </w:r>
    </w:p>
    <w:p>
      <w:pPr>
        <w:numPr>
          <w:ilvl w:val="0"/>
          <w:numId w:val="5"/>
        </w:numPr>
        <w:spacing w:line="360" w:lineRule="auto"/>
        <w:ind w:left="5" w:leftChars="0" w:firstLine="415" w:firstLine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eastAsia="zh-CN"/>
        </w:rPr>
        <w:t>验收：采购人组织产品验收，符合征集文件</w:t>
      </w:r>
      <w:r>
        <w:rPr>
          <w:rFonts w:hint="eastAsia" w:ascii="仿宋" w:hAnsi="仿宋" w:eastAsia="仿宋" w:cs="宋体"/>
          <w:b w:val="0"/>
          <w:bCs/>
          <w:color w:val="auto"/>
          <w:sz w:val="24"/>
          <w:szCs w:val="24"/>
          <w:lang w:val="en-US" w:eastAsia="zh-CN"/>
        </w:rPr>
        <w:t>要求、响应文件承诺及双方合同约定方</w:t>
      </w:r>
      <w:r>
        <w:rPr>
          <w:rFonts w:hint="eastAsia" w:ascii="仿宋" w:hAnsi="仿宋" w:eastAsia="仿宋" w:cs="宋体"/>
          <w:b w:val="0"/>
          <w:bCs/>
          <w:color w:val="auto"/>
          <w:sz w:val="24"/>
          <w:szCs w:val="24"/>
          <w:lang w:eastAsia="zh-CN"/>
        </w:rPr>
        <w:t>可验收。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商务要求</w:t>
      </w:r>
    </w:p>
    <w:p>
      <w:pPr>
        <w:numPr>
          <w:ilvl w:val="0"/>
          <w:numId w:val="6"/>
        </w:numPr>
        <w:spacing w:line="360" w:lineRule="auto"/>
        <w:ind w:left="5" w:leftChars="0" w:firstLine="415" w:firstLineChars="0"/>
        <w:rPr>
          <w:rFonts w:hint="eastAsia" w:ascii="仿宋" w:hAnsi="仿宋" w:eastAsia="仿宋" w:cs="仿宋"/>
          <w:color w:val="auto"/>
          <w:sz w:val="24"/>
          <w:szCs w:val="24"/>
        </w:rPr>
      </w:pPr>
      <w:r>
        <w:rPr>
          <w:rFonts w:hint="eastAsia" w:ascii="仿宋" w:hAnsi="仿宋" w:eastAsia="仿宋" w:cs="宋体"/>
          <w:b w:val="0"/>
          <w:bCs/>
          <w:color w:val="auto"/>
          <w:sz w:val="24"/>
          <w:szCs w:val="24"/>
          <w:lang w:eastAsia="zh-CN"/>
        </w:rPr>
        <w:t>价格确定：（</w:t>
      </w: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w:t>
      </w:r>
      <w:r>
        <w:rPr>
          <w:rFonts w:hint="eastAsia" w:ascii="仿宋" w:hAnsi="仿宋" w:eastAsia="仿宋" w:cs="仿宋"/>
          <w:color w:val="auto"/>
          <w:sz w:val="24"/>
          <w:szCs w:val="24"/>
        </w:rPr>
        <w:t>在框架协议期间，入围产品价格为合同授予阶段最高限价，不得上调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框架协议采购应当订立固定价格合同。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在其他优惠条件方面，入围供应商不得对采购人实行差别待遇。零售客户等享受的优惠条件，采购人必须同等享受。</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应按照技术参数响应表要求填报有关信息，在技术响应偏离表及商务响应偏离表填报。</w:t>
      </w:r>
    </w:p>
    <w:p>
      <w:pPr>
        <w:numPr>
          <w:ilvl w:val="0"/>
          <w:numId w:val="6"/>
        </w:numPr>
        <w:spacing w:line="360" w:lineRule="auto"/>
        <w:ind w:left="5" w:leftChars="0" w:firstLine="415" w:firstLineChars="0"/>
        <w:rPr>
          <w:rFonts w:hint="eastAsia" w:ascii="仿宋" w:hAnsi="仿宋" w:eastAsia="仿宋" w:cs="宋体"/>
          <w:b w:val="0"/>
          <w:bCs/>
          <w:color w:val="auto"/>
          <w:sz w:val="24"/>
          <w:szCs w:val="24"/>
          <w:highlight w:val="none"/>
          <w:lang w:eastAsia="zh-CN"/>
        </w:rPr>
      </w:pPr>
      <w:r>
        <w:rPr>
          <w:rFonts w:hint="eastAsia" w:ascii="仿宋" w:hAnsi="仿宋" w:eastAsia="仿宋" w:cs="宋体"/>
          <w:b w:val="0"/>
          <w:bCs/>
          <w:color w:val="auto"/>
          <w:sz w:val="24"/>
          <w:szCs w:val="24"/>
          <w:highlight w:val="none"/>
          <w:lang w:eastAsia="zh-CN"/>
        </w:rPr>
        <w:t>代理商要求：（</w:t>
      </w:r>
      <w:r>
        <w:rPr>
          <w:rFonts w:hint="eastAsia" w:ascii="仿宋" w:hAnsi="仿宋" w:eastAsia="仿宋" w:cs="宋体"/>
          <w:b w:val="0"/>
          <w:bCs/>
          <w:color w:val="auto"/>
          <w:sz w:val="24"/>
          <w:szCs w:val="24"/>
          <w:highlight w:val="none"/>
          <w:lang w:val="en-US" w:eastAsia="zh-CN"/>
        </w:rPr>
        <w:t>1</w:t>
      </w:r>
      <w:r>
        <w:rPr>
          <w:rFonts w:hint="eastAsia" w:ascii="仿宋" w:hAnsi="仿宋" w:eastAsia="仿宋" w:cs="宋体"/>
          <w:b w:val="0"/>
          <w:bCs/>
          <w:color w:val="auto"/>
          <w:sz w:val="24"/>
          <w:szCs w:val="24"/>
          <w:highlight w:val="none"/>
          <w:lang w:eastAsia="zh-CN"/>
        </w:rPr>
        <w:t>）LED显示屏框架协议采购代理商必须满足政府采购法第二十二条规定。</w:t>
      </w:r>
      <w:r>
        <w:rPr>
          <w:rFonts w:hint="eastAsia" w:ascii="仿宋" w:hAnsi="仿宋" w:eastAsia="仿宋" w:cs="宋体"/>
          <w:bCs/>
          <w:sz w:val="24"/>
          <w:szCs w:val="24"/>
        </w:rPr>
        <w:t>各代理商由入围供应商在签订框架协议时推荐</w:t>
      </w:r>
      <w:r>
        <w:rPr>
          <w:rFonts w:hint="eastAsia" w:ascii="仿宋" w:hAnsi="仿宋" w:eastAsia="仿宋" w:cs="宋体"/>
          <w:b w:val="0"/>
          <w:bCs/>
          <w:color w:val="auto"/>
          <w:sz w:val="24"/>
          <w:szCs w:val="24"/>
          <w:highlight w:val="none"/>
          <w:lang w:eastAsia="zh-CN"/>
        </w:rPr>
        <w:t>，入围供应商可以委托一家或者多家代理商，按照框架协议约定接受采购人合同授予，并履行采购合同。入围供应商应当在框架协议中提供委托协议和委托的代理商名单。（</w:t>
      </w:r>
      <w:r>
        <w:rPr>
          <w:rFonts w:hint="eastAsia" w:ascii="仿宋" w:hAnsi="仿宋" w:eastAsia="仿宋" w:cs="宋体"/>
          <w:b w:val="0"/>
          <w:bCs/>
          <w:color w:val="auto"/>
          <w:sz w:val="24"/>
          <w:szCs w:val="24"/>
          <w:highlight w:val="none"/>
          <w:lang w:val="en-US" w:eastAsia="zh-CN"/>
        </w:rPr>
        <w:t>2</w:t>
      </w:r>
      <w:r>
        <w:rPr>
          <w:rFonts w:hint="eastAsia" w:ascii="仿宋" w:hAnsi="仿宋" w:eastAsia="仿宋" w:cs="宋体"/>
          <w:b w:val="0"/>
          <w:bCs/>
          <w:color w:val="auto"/>
          <w:sz w:val="24"/>
          <w:szCs w:val="24"/>
          <w:highlight w:val="none"/>
          <w:lang w:eastAsia="zh-CN"/>
        </w:rPr>
        <w:t>）框架协议执行期间，入围供应商对代理商有调整的，应重新提交委托协议和委托的代理商名单。</w:t>
      </w:r>
    </w:p>
    <w:p>
      <w:pPr>
        <w:numPr>
          <w:ilvl w:val="0"/>
          <w:numId w:val="6"/>
        </w:numPr>
        <w:spacing w:line="360" w:lineRule="auto"/>
        <w:ind w:left="5" w:leftChars="0" w:firstLine="415" w:firstLineChars="0"/>
        <w:rPr>
          <w:color w:val="auto"/>
        </w:rPr>
      </w:pPr>
      <w:r>
        <w:rPr>
          <w:rFonts w:hint="eastAsia" w:ascii="仿宋" w:hAnsi="仿宋" w:eastAsia="仿宋" w:cs="宋体"/>
          <w:b w:val="0"/>
          <w:bCs/>
          <w:color w:val="auto"/>
          <w:sz w:val="24"/>
          <w:szCs w:val="24"/>
          <w:highlight w:val="none"/>
          <w:lang w:val="en-US" w:eastAsia="zh-CN"/>
        </w:rPr>
        <w:t>售后服务：售后服务标准必须与该产品出厂市场标准服务一致,同时还应包括:整机一年质保；7*24小时技术支持服务；</w:t>
      </w:r>
      <w:r>
        <w:rPr>
          <w:rFonts w:hint="eastAsia" w:ascii="Times New Roman" w:hAnsi="Times New Roman" w:eastAsia="仿宋"/>
          <w:sz w:val="24"/>
          <w:szCs w:val="24"/>
          <w:highlight w:val="none"/>
        </w:rPr>
        <w:t>半小时内响应</w:t>
      </w:r>
      <w:r>
        <w:rPr>
          <w:rFonts w:hint="eastAsia" w:ascii="Times New Roman" w:hAnsi="Times New Roman" w:eastAsia="仿宋"/>
          <w:sz w:val="24"/>
          <w:szCs w:val="24"/>
          <w:highlight w:val="none"/>
          <w:lang w:eastAsia="zh-CN"/>
        </w:rPr>
        <w:t>，</w:t>
      </w:r>
      <w:r>
        <w:rPr>
          <w:rFonts w:hint="eastAsia" w:ascii="Times New Roman" w:hAnsi="Times New Roman" w:eastAsia="仿宋"/>
          <w:sz w:val="24"/>
          <w:szCs w:val="24"/>
          <w:highlight w:val="none"/>
          <w:lang w:val="en-US" w:eastAsia="zh-CN"/>
        </w:rPr>
        <w:t>在故障报修后24小时内解决问题，不能解决的在故障报修后48小时内提供备机</w:t>
      </w:r>
      <w:r>
        <w:rPr>
          <w:rFonts w:hint="eastAsia" w:ascii="仿宋" w:hAnsi="仿宋" w:eastAsia="仿宋" w:cs="宋体"/>
          <w:b w:val="0"/>
          <w:bCs/>
          <w:color w:val="auto"/>
          <w:sz w:val="24"/>
          <w:szCs w:val="24"/>
          <w:highlight w:val="none"/>
          <w:lang w:val="en-US" w:eastAsia="zh-CN"/>
        </w:rPr>
        <w:t>。</w:t>
      </w:r>
      <w:r>
        <w:rPr>
          <w:color w:val="auto"/>
        </w:rPr>
        <w:br w:type="page"/>
      </w:r>
    </w:p>
    <w:p>
      <w:pPr>
        <w:pStyle w:val="3"/>
        <w:numPr>
          <w:ilvl w:val="0"/>
          <w:numId w:val="1"/>
        </w:numPr>
        <w:spacing w:before="240" w:after="120"/>
        <w:ind w:left="643" w:hanging="643"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eastAsia"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val="en-US" w:eastAsia="zh-CN"/>
        </w:rPr>
        <w:t>若按淘汰率得出的淘汰名次存在并列排序，比较供应商提供的第三方检测报告上的技术参数，依次按照亮度、刷新率和对比度的顺序确定淘汰供应商：亮度值越大</w:t>
      </w:r>
      <w:r>
        <w:rPr>
          <w:rFonts w:hint="eastAsia" w:ascii="仿宋" w:hAnsi="仿宋" w:eastAsia="仿宋" w:cs="仿宋"/>
          <w:bCs/>
          <w:sz w:val="24"/>
          <w:szCs w:val="24"/>
          <w:highlight w:val="none"/>
        </w:rPr>
        <w:t>排序名次越高；</w:t>
      </w:r>
      <w:r>
        <w:rPr>
          <w:rFonts w:hint="eastAsia" w:ascii="仿宋" w:hAnsi="仿宋" w:eastAsia="仿宋" w:cs="仿宋"/>
          <w:bCs/>
          <w:sz w:val="24"/>
          <w:szCs w:val="24"/>
          <w:highlight w:val="none"/>
          <w:lang w:eastAsia="zh-CN"/>
        </w:rPr>
        <w:t>亮度值</w:t>
      </w:r>
      <w:r>
        <w:rPr>
          <w:rFonts w:hint="eastAsia" w:ascii="仿宋" w:hAnsi="仿宋" w:eastAsia="仿宋" w:cs="仿宋"/>
          <w:bCs/>
          <w:sz w:val="24"/>
          <w:szCs w:val="24"/>
          <w:highlight w:val="none"/>
        </w:rPr>
        <w:t>一致时比较</w:t>
      </w:r>
      <w:r>
        <w:rPr>
          <w:rFonts w:hint="eastAsia" w:ascii="仿宋" w:hAnsi="仿宋" w:eastAsia="仿宋" w:cs="仿宋"/>
          <w:bCs/>
          <w:sz w:val="24"/>
          <w:szCs w:val="24"/>
          <w:highlight w:val="none"/>
          <w:lang w:eastAsia="zh-CN"/>
        </w:rPr>
        <w:t>刷新率</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刷新率越快</w:t>
      </w:r>
      <w:r>
        <w:rPr>
          <w:rFonts w:hint="eastAsia" w:ascii="仿宋" w:hAnsi="仿宋" w:eastAsia="仿宋" w:cs="仿宋"/>
          <w:bCs/>
          <w:sz w:val="24"/>
          <w:szCs w:val="24"/>
          <w:highlight w:val="none"/>
        </w:rPr>
        <w:t>排序名次越高；</w:t>
      </w:r>
      <w:r>
        <w:rPr>
          <w:rFonts w:hint="eastAsia" w:ascii="仿宋" w:hAnsi="仿宋" w:eastAsia="仿宋" w:cs="仿宋"/>
          <w:bCs/>
          <w:sz w:val="24"/>
          <w:szCs w:val="24"/>
          <w:highlight w:val="none"/>
          <w:lang w:eastAsia="zh-CN"/>
        </w:rPr>
        <w:t>刷新率</w:t>
      </w:r>
      <w:r>
        <w:rPr>
          <w:rFonts w:hint="eastAsia" w:ascii="仿宋" w:hAnsi="仿宋" w:eastAsia="仿宋" w:cs="仿宋"/>
          <w:bCs/>
          <w:sz w:val="24"/>
          <w:szCs w:val="24"/>
          <w:highlight w:val="none"/>
        </w:rPr>
        <w:t>一致时</w:t>
      </w:r>
      <w:r>
        <w:rPr>
          <w:rFonts w:hint="eastAsia" w:ascii="仿宋" w:hAnsi="仿宋" w:eastAsia="仿宋" w:cs="仿宋"/>
          <w:bCs/>
          <w:sz w:val="24"/>
          <w:szCs w:val="24"/>
          <w:highlight w:val="none"/>
          <w:lang w:eastAsia="zh-CN"/>
        </w:rPr>
        <w:t>比较对比度</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对比度越高</w:t>
      </w:r>
      <w:r>
        <w:rPr>
          <w:rFonts w:hint="eastAsia" w:ascii="仿宋" w:hAnsi="仿宋" w:eastAsia="仿宋" w:cs="仿宋"/>
          <w:bCs/>
          <w:sz w:val="24"/>
          <w:szCs w:val="24"/>
          <w:highlight w:val="none"/>
        </w:rPr>
        <w:t>排序名次越高；</w:t>
      </w:r>
      <w:r>
        <w:rPr>
          <w:rFonts w:hint="eastAsia" w:ascii="仿宋" w:hAnsi="仿宋" w:eastAsia="仿宋" w:cs="仿宋"/>
          <w:bCs/>
          <w:sz w:val="24"/>
          <w:szCs w:val="24"/>
          <w:highlight w:val="none"/>
          <w:lang w:eastAsia="zh-CN"/>
        </w:rPr>
        <w:t>对比度</w:t>
      </w:r>
      <w:r>
        <w:rPr>
          <w:rFonts w:hint="eastAsia" w:ascii="仿宋" w:hAnsi="仿宋" w:eastAsia="仿宋" w:cs="仿宋"/>
          <w:bCs/>
          <w:sz w:val="24"/>
          <w:szCs w:val="24"/>
          <w:highlight w:val="none"/>
        </w:rPr>
        <w:t>一致时，采取随机抽取方式确定供应商排序</w:t>
      </w:r>
      <w:r>
        <w:rPr>
          <w:rFonts w:hint="eastAsia" w:ascii="仿宋" w:hAnsi="仿宋" w:eastAsia="仿宋" w:cs="仿宋"/>
          <w:bCs/>
          <w:color w:val="auto"/>
          <w:sz w:val="24"/>
          <w:szCs w:val="24"/>
          <w:highlight w:val="none"/>
          <w:lang w:val="en-US" w:eastAsia="zh-CN"/>
        </w:rPr>
        <w:t>；</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若采取随机抽取方式确定供应商排序，相关供应商应在</w:t>
      </w:r>
      <w:r>
        <w:rPr>
          <w:rFonts w:ascii="仿宋" w:hAnsi="仿宋" w:eastAsia="仿宋" w:cs="仿宋"/>
          <w:bCs/>
          <w:sz w:val="24"/>
          <w:szCs w:val="24"/>
        </w:rPr>
        <w:t>接到通知后60分钟内（供应商须保持电话随时畅通，如无法与其取得联系的，视为放弃抽签入围资格）</w:t>
      </w:r>
      <w:r>
        <w:rPr>
          <w:rFonts w:hint="eastAsia" w:ascii="仿宋" w:hAnsi="仿宋" w:eastAsia="仿宋" w:cs="仿宋"/>
          <w:bCs/>
          <w:sz w:val="24"/>
          <w:szCs w:val="24"/>
        </w:rPr>
        <w:t>携带资料（</w:t>
      </w:r>
      <w:r>
        <w:rPr>
          <w:rFonts w:ascii="仿宋" w:hAnsi="仿宋" w:eastAsia="仿宋" w:cs="仿宋"/>
          <w:bCs/>
          <w:sz w:val="24"/>
          <w:szCs w:val="24"/>
        </w:rPr>
        <w:t>供应商法定代表人或授权代表须携带本人身份证原件及法定代表人身份证明或法定代表人授权书</w:t>
      </w:r>
      <w:r>
        <w:rPr>
          <w:rFonts w:hint="eastAsia" w:ascii="仿宋" w:hAnsi="仿宋" w:eastAsia="仿宋" w:cs="仿宋"/>
          <w:bCs/>
          <w:sz w:val="24"/>
          <w:szCs w:val="24"/>
        </w:rPr>
        <w:t>）至评标现场，</w:t>
      </w:r>
      <w:r>
        <w:rPr>
          <w:rFonts w:ascii="仿宋" w:hAnsi="仿宋" w:eastAsia="仿宋" w:cs="仿宋"/>
          <w:bCs/>
          <w:sz w:val="24"/>
          <w:szCs w:val="24"/>
        </w:rPr>
        <w:t>否则视为放弃抽签入围资格</w:t>
      </w:r>
      <w:r>
        <w:rPr>
          <w:rFonts w:hint="eastAsia" w:ascii="仿宋" w:hAnsi="仿宋" w:eastAsia="仿宋" w:cs="仿宋"/>
          <w:bCs/>
          <w:sz w:val="24"/>
          <w:szCs w:val="24"/>
        </w:rPr>
        <w:t>。</w:t>
      </w:r>
      <w:r>
        <w:rPr>
          <w:rFonts w:ascii="仿宋" w:hAnsi="仿宋" w:eastAsia="仿宋" w:cs="仿宋"/>
          <w:bCs/>
          <w:sz w:val="24"/>
          <w:szCs w:val="24"/>
        </w:rPr>
        <w:t>供应商在现场进行抽签，抽签结束后由现场供应商确认抽签结果。</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（1）本项目对小型和微型企业产品给予</w:t>
      </w:r>
      <w:r>
        <w:rPr>
          <w:rFonts w:hint="eastAsia" w:ascii="仿宋" w:hAnsi="仿宋" w:eastAsia="仿宋" w:cs="仿宋"/>
          <w:bCs/>
          <w:color w:val="auto"/>
          <w:sz w:val="24"/>
          <w:szCs w:val="24"/>
          <w:highlight w:val="none"/>
          <w:lang w:val="en-US" w:eastAsia="zh-CN"/>
        </w:rPr>
        <w:t>10</w:t>
      </w:r>
      <w:r>
        <w:rPr>
          <w:rFonts w:hint="default" w:ascii="仿宋" w:hAnsi="仿宋" w:eastAsia="仿宋" w:cs="仿宋"/>
          <w:bCs/>
          <w:color w:val="auto"/>
          <w:sz w:val="24"/>
          <w:szCs w:val="24"/>
          <w:highlight w:val="none"/>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（2）供应商需按照征集文件的要求提供相应的《</w:t>
      </w:r>
      <w:r>
        <w:rPr>
          <w:rFonts w:hint="eastAsia" w:ascii="仿宋" w:hAnsi="仿宋" w:eastAsia="仿宋" w:cs="仿宋"/>
          <w:bCs/>
          <w:color w:val="auto"/>
          <w:sz w:val="24"/>
          <w:szCs w:val="24"/>
          <w:highlight w:val="none"/>
          <w:lang w:val="en-US" w:eastAsia="zh-CN"/>
        </w:rPr>
        <w:t>中小</w:t>
      </w:r>
      <w:r>
        <w:rPr>
          <w:rFonts w:hint="default" w:ascii="仿宋" w:hAnsi="仿宋" w:eastAsia="仿宋" w:cs="仿宋"/>
          <w:bCs/>
          <w:color w:val="auto"/>
          <w:sz w:val="24"/>
          <w:szCs w:val="24"/>
          <w:highlight w:val="none"/>
          <w:lang w:val="en-US" w:eastAsia="zh-CN"/>
        </w:rPr>
        <w:t>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（1）本项目对监狱和戒毒企业（简称监狱企业）视同小型、微型企业，给予10%的价格扣除，用扣除后的价格参与排序。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r>
        <w:rPr>
          <w:rFonts w:hint="eastAsia" w:ascii="仿宋" w:hAnsi="仿宋" w:eastAsia="仿宋" w:cs="仿宋"/>
          <w:bCs/>
          <w:color w:val="auto"/>
          <w:sz w:val="24"/>
          <w:szCs w:val="24"/>
          <w:lang w:val="en-US" w:eastAsia="zh-CN"/>
        </w:rPr>
        <w:t>。</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highlight w:val="none"/>
          <w:lang w:eastAsia="zh-CN"/>
        </w:rPr>
      </w:pPr>
      <w:r>
        <w:rPr>
          <w:rFonts w:hint="default" w:ascii="仿宋" w:hAnsi="仿宋" w:eastAsia="仿宋" w:cs="仿宋"/>
          <w:bCs/>
          <w:color w:val="auto"/>
          <w:sz w:val="24"/>
          <w:szCs w:val="24"/>
          <w:highlight w:val="none"/>
          <w:lang w:val="en-US" w:eastAsia="zh-CN"/>
        </w:rPr>
        <w:t>1.确定第二阶段成交供应商的方式为直接选定</w:t>
      </w:r>
      <w:r>
        <w:rPr>
          <w:rFonts w:hint="eastAsia" w:ascii="仿宋" w:hAnsi="仿宋" w:eastAsia="仿宋" w:cs="仿宋"/>
          <w:bCs/>
          <w:color w:val="auto"/>
          <w:sz w:val="24"/>
          <w:szCs w:val="24"/>
          <w:highlight w:val="none"/>
          <w:lang w:val="en-US" w:eastAsia="zh-CN"/>
        </w:rPr>
        <w:t>或二次竞价</w:t>
      </w:r>
      <w:r>
        <w:rPr>
          <w:rFonts w:hint="default" w:ascii="仿宋" w:hAnsi="仿宋" w:eastAsia="仿宋" w:cs="仿宋"/>
          <w:bCs/>
          <w:color w:val="auto"/>
          <w:sz w:val="24"/>
          <w:szCs w:val="24"/>
          <w:highlight w:val="none"/>
          <w:lang w:val="en-US" w:eastAsia="zh-CN"/>
        </w:rPr>
        <w:t>。</w:t>
      </w:r>
      <w:r>
        <w:rPr>
          <w:rStyle w:val="15"/>
          <w:rFonts w:hint="default" w:ascii="仿宋"/>
          <w:color w:val="auto"/>
          <w:sz w:val="24"/>
          <w:szCs w:val="24"/>
          <w:highlight w:val="none"/>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default" w:ascii="仿宋" w:hAnsi="仿宋" w:eastAsia="仿宋" w:cs="仿宋"/>
          <w:bCs/>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hint="eastAsia" w:ascii="宋体" w:hAnsi="宋体"/>
      </w:rPr>
      <w:fldChar w:fldCharType="begin"/>
    </w:r>
    <w:r>
      <w:rPr>
        <w:rStyle w:val="13"/>
        <w:rFonts w:hint="eastAsia" w:ascii="宋体" w:hAnsi="宋体"/>
      </w:rPr>
      <w:instrText xml:space="preserve"> PAGE </w:instrText>
    </w:r>
    <w:r>
      <w:rPr>
        <w:rFonts w:hint="eastAsia" w:ascii="宋体" w:hAnsi="宋体"/>
      </w:rPr>
      <w:fldChar w:fldCharType="separate"/>
    </w:r>
    <w:r>
      <w:rPr>
        <w:rStyle w:val="13"/>
        <w:rFonts w:ascii="宋体" w:hAnsi="宋体"/>
      </w:rPr>
      <w:t>4</w:t>
    </w:r>
    <w:r>
      <w:rPr>
        <w:rFonts w:hint="eastAsia"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CB6A0"/>
    <w:multiLevelType w:val="singleLevel"/>
    <w:tmpl w:val="B2BCB6A0"/>
    <w:lvl w:ilvl="0" w:tentative="0">
      <w:start w:val="1"/>
      <w:numFmt w:val="decimal"/>
      <w:lvlText w:val="%1."/>
      <w:lvlJc w:val="left"/>
      <w:pPr>
        <w:ind w:left="425" w:hanging="425"/>
      </w:pPr>
      <w:rPr>
        <w:rFonts w:hint="default"/>
      </w:rPr>
    </w:lvl>
  </w:abstractNum>
  <w:abstractNum w:abstractNumId="1">
    <w:nsid w:val="CB638ED1"/>
    <w:multiLevelType w:val="singleLevel"/>
    <w:tmpl w:val="CB638ED1"/>
    <w:lvl w:ilvl="0" w:tentative="0">
      <w:start w:val="1"/>
      <w:numFmt w:val="decimal"/>
      <w:lvlText w:val="%1."/>
      <w:lvlJc w:val="left"/>
      <w:pPr>
        <w:ind w:left="425" w:hanging="425"/>
      </w:pPr>
      <w:rPr>
        <w:rFonts w:hint="default"/>
      </w:rPr>
    </w:lvl>
  </w:abstractNum>
  <w:abstractNum w:abstractNumId="2">
    <w:nsid w:val="E08AD5BF"/>
    <w:multiLevelType w:val="singleLevel"/>
    <w:tmpl w:val="E08AD5BF"/>
    <w:lvl w:ilvl="0" w:tentative="0">
      <w:start w:val="1"/>
      <w:numFmt w:val="decimal"/>
      <w:lvlText w:val="%1."/>
      <w:lvlJc w:val="left"/>
      <w:pPr>
        <w:ind w:left="425" w:hanging="425"/>
      </w:pPr>
      <w:rPr>
        <w:rFonts w:hint="default"/>
      </w:rPr>
    </w:lvl>
  </w:abstractNum>
  <w:abstractNum w:abstractNumId="3">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CCC16D0"/>
    <w:multiLevelType w:val="singleLevel"/>
    <w:tmpl w:val="6CCC16D0"/>
    <w:lvl w:ilvl="0" w:tentative="0">
      <w:start w:val="1"/>
      <w:numFmt w:val="decimal"/>
      <w:lvlText w:val="%1."/>
      <w:lvlJc w:val="left"/>
      <w:pPr>
        <w:ind w:left="425" w:hanging="425"/>
      </w:pPr>
      <w:rPr>
        <w:rFonts w:hint="default"/>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0941B1B"/>
    <w:rsid w:val="00B76CE3"/>
    <w:rsid w:val="00E06F57"/>
    <w:rsid w:val="00FD6ECE"/>
    <w:rsid w:val="01686A2A"/>
    <w:rsid w:val="025A22F0"/>
    <w:rsid w:val="02837F2A"/>
    <w:rsid w:val="02BB7DBA"/>
    <w:rsid w:val="03F505D9"/>
    <w:rsid w:val="0516250A"/>
    <w:rsid w:val="056B07C4"/>
    <w:rsid w:val="059C6AB7"/>
    <w:rsid w:val="06CA1807"/>
    <w:rsid w:val="06E400AD"/>
    <w:rsid w:val="070255B3"/>
    <w:rsid w:val="072D2F54"/>
    <w:rsid w:val="076E0F06"/>
    <w:rsid w:val="07A21EC0"/>
    <w:rsid w:val="07C72067"/>
    <w:rsid w:val="085A4641"/>
    <w:rsid w:val="08B13458"/>
    <w:rsid w:val="09220BEA"/>
    <w:rsid w:val="099A749D"/>
    <w:rsid w:val="09B0653C"/>
    <w:rsid w:val="09FF6822"/>
    <w:rsid w:val="0A281952"/>
    <w:rsid w:val="0A2D5490"/>
    <w:rsid w:val="0AE07C57"/>
    <w:rsid w:val="0B0D1CC1"/>
    <w:rsid w:val="0B91480C"/>
    <w:rsid w:val="0BC102B0"/>
    <w:rsid w:val="0BD51688"/>
    <w:rsid w:val="0C1970DB"/>
    <w:rsid w:val="0DE27412"/>
    <w:rsid w:val="0DF61017"/>
    <w:rsid w:val="0DF936A3"/>
    <w:rsid w:val="0EA46D4C"/>
    <w:rsid w:val="0EBC5FEF"/>
    <w:rsid w:val="0F0B4162"/>
    <w:rsid w:val="0F596E2E"/>
    <w:rsid w:val="0F995F15"/>
    <w:rsid w:val="0FA36C01"/>
    <w:rsid w:val="0FA74D06"/>
    <w:rsid w:val="1030154B"/>
    <w:rsid w:val="104043E7"/>
    <w:rsid w:val="10577641"/>
    <w:rsid w:val="107A7D0B"/>
    <w:rsid w:val="11103CF6"/>
    <w:rsid w:val="11203503"/>
    <w:rsid w:val="11212257"/>
    <w:rsid w:val="114A1CC4"/>
    <w:rsid w:val="11601984"/>
    <w:rsid w:val="11A24119"/>
    <w:rsid w:val="12067F0D"/>
    <w:rsid w:val="12CB6199"/>
    <w:rsid w:val="134B7F11"/>
    <w:rsid w:val="13873222"/>
    <w:rsid w:val="13876F17"/>
    <w:rsid w:val="13B7772F"/>
    <w:rsid w:val="14320700"/>
    <w:rsid w:val="145E1331"/>
    <w:rsid w:val="1487003F"/>
    <w:rsid w:val="14896649"/>
    <w:rsid w:val="149768AA"/>
    <w:rsid w:val="14AB4BD8"/>
    <w:rsid w:val="14B07EF6"/>
    <w:rsid w:val="14E55946"/>
    <w:rsid w:val="1525233B"/>
    <w:rsid w:val="157F3173"/>
    <w:rsid w:val="15F151B1"/>
    <w:rsid w:val="16BF1D23"/>
    <w:rsid w:val="1720786C"/>
    <w:rsid w:val="179A5569"/>
    <w:rsid w:val="18866E25"/>
    <w:rsid w:val="18D40C4B"/>
    <w:rsid w:val="19073475"/>
    <w:rsid w:val="191039F0"/>
    <w:rsid w:val="19D23BBD"/>
    <w:rsid w:val="19F50885"/>
    <w:rsid w:val="1A0621D1"/>
    <w:rsid w:val="1A5A34EF"/>
    <w:rsid w:val="1A757AA0"/>
    <w:rsid w:val="1B005999"/>
    <w:rsid w:val="1B7F376A"/>
    <w:rsid w:val="1BCE50CC"/>
    <w:rsid w:val="1C0D1829"/>
    <w:rsid w:val="1C20381F"/>
    <w:rsid w:val="1C4C1D95"/>
    <w:rsid w:val="1CA82508"/>
    <w:rsid w:val="1CE0699A"/>
    <w:rsid w:val="1D13406F"/>
    <w:rsid w:val="1D823DAF"/>
    <w:rsid w:val="1E411679"/>
    <w:rsid w:val="1E681AE7"/>
    <w:rsid w:val="1EC35425"/>
    <w:rsid w:val="1F117475"/>
    <w:rsid w:val="1F342BE7"/>
    <w:rsid w:val="1F7C3260"/>
    <w:rsid w:val="1FE026ED"/>
    <w:rsid w:val="200D54BF"/>
    <w:rsid w:val="20135A73"/>
    <w:rsid w:val="201D1F87"/>
    <w:rsid w:val="202F30DF"/>
    <w:rsid w:val="204D6506"/>
    <w:rsid w:val="207F1243"/>
    <w:rsid w:val="2089284E"/>
    <w:rsid w:val="21321B91"/>
    <w:rsid w:val="218B6430"/>
    <w:rsid w:val="219E2CF7"/>
    <w:rsid w:val="21D13796"/>
    <w:rsid w:val="21EC722B"/>
    <w:rsid w:val="2261363F"/>
    <w:rsid w:val="23137FE8"/>
    <w:rsid w:val="236524DD"/>
    <w:rsid w:val="242251E0"/>
    <w:rsid w:val="24A10848"/>
    <w:rsid w:val="24BD72A4"/>
    <w:rsid w:val="256D77B7"/>
    <w:rsid w:val="256E3750"/>
    <w:rsid w:val="25F54955"/>
    <w:rsid w:val="265B55FE"/>
    <w:rsid w:val="26942D58"/>
    <w:rsid w:val="269C48C4"/>
    <w:rsid w:val="270648B6"/>
    <w:rsid w:val="271C1A14"/>
    <w:rsid w:val="276031BA"/>
    <w:rsid w:val="28512A67"/>
    <w:rsid w:val="28600BC2"/>
    <w:rsid w:val="287335B8"/>
    <w:rsid w:val="293126C7"/>
    <w:rsid w:val="29364F85"/>
    <w:rsid w:val="294D7DEF"/>
    <w:rsid w:val="29544409"/>
    <w:rsid w:val="295D33A8"/>
    <w:rsid w:val="2AE71E00"/>
    <w:rsid w:val="2B767D8C"/>
    <w:rsid w:val="2BE20EDC"/>
    <w:rsid w:val="2BF71C25"/>
    <w:rsid w:val="2C8B6852"/>
    <w:rsid w:val="2C953179"/>
    <w:rsid w:val="2CB3062D"/>
    <w:rsid w:val="2CE5783E"/>
    <w:rsid w:val="2EAB79E7"/>
    <w:rsid w:val="2F2602E5"/>
    <w:rsid w:val="2FB96029"/>
    <w:rsid w:val="2FC33CB9"/>
    <w:rsid w:val="2FEA4DFF"/>
    <w:rsid w:val="300A25BD"/>
    <w:rsid w:val="300F22AF"/>
    <w:rsid w:val="30317048"/>
    <w:rsid w:val="311801F1"/>
    <w:rsid w:val="316C3528"/>
    <w:rsid w:val="318D26EA"/>
    <w:rsid w:val="31F512DC"/>
    <w:rsid w:val="322A2766"/>
    <w:rsid w:val="330E1CCB"/>
    <w:rsid w:val="332068F7"/>
    <w:rsid w:val="333301E2"/>
    <w:rsid w:val="34233AE4"/>
    <w:rsid w:val="34BB6CDB"/>
    <w:rsid w:val="35217BC8"/>
    <w:rsid w:val="35311E4D"/>
    <w:rsid w:val="3536154B"/>
    <w:rsid w:val="355659E1"/>
    <w:rsid w:val="35A374B3"/>
    <w:rsid w:val="36436DE3"/>
    <w:rsid w:val="36B76B9D"/>
    <w:rsid w:val="36FC5338"/>
    <w:rsid w:val="3779249C"/>
    <w:rsid w:val="37AE2A43"/>
    <w:rsid w:val="381528BB"/>
    <w:rsid w:val="388775E2"/>
    <w:rsid w:val="38955A7A"/>
    <w:rsid w:val="39065C78"/>
    <w:rsid w:val="390D794E"/>
    <w:rsid w:val="392C3F8E"/>
    <w:rsid w:val="39732178"/>
    <w:rsid w:val="3990656B"/>
    <w:rsid w:val="3A3717F3"/>
    <w:rsid w:val="3A76155F"/>
    <w:rsid w:val="3A8468AA"/>
    <w:rsid w:val="3AF15ED7"/>
    <w:rsid w:val="3B166479"/>
    <w:rsid w:val="3BD67B05"/>
    <w:rsid w:val="3D097DAA"/>
    <w:rsid w:val="3D3C250F"/>
    <w:rsid w:val="3DC068B5"/>
    <w:rsid w:val="3E0F4908"/>
    <w:rsid w:val="3E8577DB"/>
    <w:rsid w:val="3E996259"/>
    <w:rsid w:val="3E9C2835"/>
    <w:rsid w:val="3EAF7DE6"/>
    <w:rsid w:val="3EBD1D22"/>
    <w:rsid w:val="3FE63FD2"/>
    <w:rsid w:val="410A6E2A"/>
    <w:rsid w:val="4147605A"/>
    <w:rsid w:val="417A77A4"/>
    <w:rsid w:val="4188066E"/>
    <w:rsid w:val="418A060A"/>
    <w:rsid w:val="41AB7532"/>
    <w:rsid w:val="41EA1EA3"/>
    <w:rsid w:val="42052A74"/>
    <w:rsid w:val="424B1FA6"/>
    <w:rsid w:val="42924EDA"/>
    <w:rsid w:val="42A51CB3"/>
    <w:rsid w:val="42AD6F09"/>
    <w:rsid w:val="42E420BC"/>
    <w:rsid w:val="42E92D73"/>
    <w:rsid w:val="431D2A57"/>
    <w:rsid w:val="43606787"/>
    <w:rsid w:val="437612D3"/>
    <w:rsid w:val="442A62B4"/>
    <w:rsid w:val="443F2C50"/>
    <w:rsid w:val="44BC265E"/>
    <w:rsid w:val="45025FE2"/>
    <w:rsid w:val="45192710"/>
    <w:rsid w:val="458B0ED9"/>
    <w:rsid w:val="460838F1"/>
    <w:rsid w:val="463D3C87"/>
    <w:rsid w:val="46713FBF"/>
    <w:rsid w:val="467902A9"/>
    <w:rsid w:val="46CF1578"/>
    <w:rsid w:val="46DB43B9"/>
    <w:rsid w:val="470765A9"/>
    <w:rsid w:val="471D69BD"/>
    <w:rsid w:val="4733351F"/>
    <w:rsid w:val="477A476B"/>
    <w:rsid w:val="47995DB5"/>
    <w:rsid w:val="47CA7704"/>
    <w:rsid w:val="4816707C"/>
    <w:rsid w:val="482A3E82"/>
    <w:rsid w:val="48325BE2"/>
    <w:rsid w:val="48423F76"/>
    <w:rsid w:val="4856673A"/>
    <w:rsid w:val="48E30255"/>
    <w:rsid w:val="4953346C"/>
    <w:rsid w:val="49BF2DDD"/>
    <w:rsid w:val="49C25094"/>
    <w:rsid w:val="4A1E6914"/>
    <w:rsid w:val="4A491F65"/>
    <w:rsid w:val="4A5A143B"/>
    <w:rsid w:val="4A9E40C1"/>
    <w:rsid w:val="4AF266E5"/>
    <w:rsid w:val="4B335C59"/>
    <w:rsid w:val="4B586030"/>
    <w:rsid w:val="4BD26957"/>
    <w:rsid w:val="4C63799C"/>
    <w:rsid w:val="4C924841"/>
    <w:rsid w:val="4CD23150"/>
    <w:rsid w:val="4D21379C"/>
    <w:rsid w:val="4D246966"/>
    <w:rsid w:val="4D277B17"/>
    <w:rsid w:val="4D6A1D6C"/>
    <w:rsid w:val="4DD45E00"/>
    <w:rsid w:val="4E19332D"/>
    <w:rsid w:val="4ED2601E"/>
    <w:rsid w:val="4F2229DD"/>
    <w:rsid w:val="4FF92DE3"/>
    <w:rsid w:val="50395648"/>
    <w:rsid w:val="509F03F2"/>
    <w:rsid w:val="50DF7A0D"/>
    <w:rsid w:val="50F55FD9"/>
    <w:rsid w:val="51866B42"/>
    <w:rsid w:val="518C3B48"/>
    <w:rsid w:val="520D68DA"/>
    <w:rsid w:val="52115BF1"/>
    <w:rsid w:val="53296781"/>
    <w:rsid w:val="535023B9"/>
    <w:rsid w:val="541243DA"/>
    <w:rsid w:val="546A7522"/>
    <w:rsid w:val="549D479B"/>
    <w:rsid w:val="54AE4EC7"/>
    <w:rsid w:val="54BF5688"/>
    <w:rsid w:val="54ED5324"/>
    <w:rsid w:val="550F2479"/>
    <w:rsid w:val="55457341"/>
    <w:rsid w:val="560E5158"/>
    <w:rsid w:val="56103230"/>
    <w:rsid w:val="56120EF1"/>
    <w:rsid w:val="5663547E"/>
    <w:rsid w:val="566D55B6"/>
    <w:rsid w:val="57240D8B"/>
    <w:rsid w:val="573E7D7C"/>
    <w:rsid w:val="57C27DDD"/>
    <w:rsid w:val="580A15CF"/>
    <w:rsid w:val="58205794"/>
    <w:rsid w:val="58841A36"/>
    <w:rsid w:val="58BC3B87"/>
    <w:rsid w:val="59155B39"/>
    <w:rsid w:val="59430EFE"/>
    <w:rsid w:val="59467CE3"/>
    <w:rsid w:val="59B50695"/>
    <w:rsid w:val="5AA51139"/>
    <w:rsid w:val="5AD97418"/>
    <w:rsid w:val="5AF915C8"/>
    <w:rsid w:val="5B192FFD"/>
    <w:rsid w:val="5BA73E2C"/>
    <w:rsid w:val="5BCC0156"/>
    <w:rsid w:val="5C0D3658"/>
    <w:rsid w:val="5C184B07"/>
    <w:rsid w:val="5C7C1447"/>
    <w:rsid w:val="5CB80D06"/>
    <w:rsid w:val="5CEA7F30"/>
    <w:rsid w:val="5CED5AF6"/>
    <w:rsid w:val="5D302821"/>
    <w:rsid w:val="5D5A2574"/>
    <w:rsid w:val="5D712CA4"/>
    <w:rsid w:val="5D7809DF"/>
    <w:rsid w:val="5DB03139"/>
    <w:rsid w:val="5DFD7326"/>
    <w:rsid w:val="5F0914DA"/>
    <w:rsid w:val="5F157A43"/>
    <w:rsid w:val="5F164219"/>
    <w:rsid w:val="5F1F6522"/>
    <w:rsid w:val="5F333AF4"/>
    <w:rsid w:val="5F6C7568"/>
    <w:rsid w:val="5F735495"/>
    <w:rsid w:val="5FCE0B76"/>
    <w:rsid w:val="60762A2C"/>
    <w:rsid w:val="60774116"/>
    <w:rsid w:val="608B0A49"/>
    <w:rsid w:val="6091567C"/>
    <w:rsid w:val="60BA2130"/>
    <w:rsid w:val="611A6367"/>
    <w:rsid w:val="620128BD"/>
    <w:rsid w:val="62065810"/>
    <w:rsid w:val="624B06C7"/>
    <w:rsid w:val="62A86A9B"/>
    <w:rsid w:val="62BE54FC"/>
    <w:rsid w:val="62E26D10"/>
    <w:rsid w:val="638C397F"/>
    <w:rsid w:val="639D607D"/>
    <w:rsid w:val="63B26EF9"/>
    <w:rsid w:val="642478E5"/>
    <w:rsid w:val="642C5B44"/>
    <w:rsid w:val="65050E0A"/>
    <w:rsid w:val="651905BE"/>
    <w:rsid w:val="659E3EE7"/>
    <w:rsid w:val="65B92AB8"/>
    <w:rsid w:val="663F2F8E"/>
    <w:rsid w:val="669F2270"/>
    <w:rsid w:val="67057EAA"/>
    <w:rsid w:val="672D3264"/>
    <w:rsid w:val="67684DD3"/>
    <w:rsid w:val="677B69FA"/>
    <w:rsid w:val="67AC0A19"/>
    <w:rsid w:val="67BE1CB1"/>
    <w:rsid w:val="680E324C"/>
    <w:rsid w:val="68264B7C"/>
    <w:rsid w:val="68495955"/>
    <w:rsid w:val="684E5173"/>
    <w:rsid w:val="68B22B57"/>
    <w:rsid w:val="691B30B9"/>
    <w:rsid w:val="69314908"/>
    <w:rsid w:val="694F3F21"/>
    <w:rsid w:val="6978434F"/>
    <w:rsid w:val="69E62061"/>
    <w:rsid w:val="69E63BE2"/>
    <w:rsid w:val="6A69347F"/>
    <w:rsid w:val="6A8D3417"/>
    <w:rsid w:val="6B441371"/>
    <w:rsid w:val="6B595D99"/>
    <w:rsid w:val="6BB655CF"/>
    <w:rsid w:val="6C166DA8"/>
    <w:rsid w:val="6CE2469D"/>
    <w:rsid w:val="6CE51FBB"/>
    <w:rsid w:val="6D3140E4"/>
    <w:rsid w:val="6FE97C33"/>
    <w:rsid w:val="70402F65"/>
    <w:rsid w:val="707B39F8"/>
    <w:rsid w:val="709564C6"/>
    <w:rsid w:val="70B907FB"/>
    <w:rsid w:val="70F359DE"/>
    <w:rsid w:val="71086203"/>
    <w:rsid w:val="710E00D2"/>
    <w:rsid w:val="716851FD"/>
    <w:rsid w:val="71785F76"/>
    <w:rsid w:val="71D55075"/>
    <w:rsid w:val="71DF02E9"/>
    <w:rsid w:val="721053F8"/>
    <w:rsid w:val="724923C1"/>
    <w:rsid w:val="72CA332B"/>
    <w:rsid w:val="72ED3710"/>
    <w:rsid w:val="732A723D"/>
    <w:rsid w:val="7395736D"/>
    <w:rsid w:val="73E542C2"/>
    <w:rsid w:val="74055262"/>
    <w:rsid w:val="74246284"/>
    <w:rsid w:val="742B051C"/>
    <w:rsid w:val="74415662"/>
    <w:rsid w:val="744C107A"/>
    <w:rsid w:val="7456154C"/>
    <w:rsid w:val="75101B82"/>
    <w:rsid w:val="75412B50"/>
    <w:rsid w:val="754F7810"/>
    <w:rsid w:val="75564B20"/>
    <w:rsid w:val="75B4180D"/>
    <w:rsid w:val="75DB3541"/>
    <w:rsid w:val="763E72A7"/>
    <w:rsid w:val="769A120C"/>
    <w:rsid w:val="76B8567F"/>
    <w:rsid w:val="77060E91"/>
    <w:rsid w:val="774F3E9E"/>
    <w:rsid w:val="776960AF"/>
    <w:rsid w:val="77C12089"/>
    <w:rsid w:val="77DD0545"/>
    <w:rsid w:val="77DE00FC"/>
    <w:rsid w:val="7842560C"/>
    <w:rsid w:val="78B1644F"/>
    <w:rsid w:val="79B1278C"/>
    <w:rsid w:val="79BA5C48"/>
    <w:rsid w:val="79FB06BD"/>
    <w:rsid w:val="7A1567E5"/>
    <w:rsid w:val="7A190AF6"/>
    <w:rsid w:val="7A5C0662"/>
    <w:rsid w:val="7A5E6060"/>
    <w:rsid w:val="7A7039D4"/>
    <w:rsid w:val="7AEF5047"/>
    <w:rsid w:val="7AF06FAA"/>
    <w:rsid w:val="7B051869"/>
    <w:rsid w:val="7B0E55D9"/>
    <w:rsid w:val="7B8367F6"/>
    <w:rsid w:val="7C2B1347"/>
    <w:rsid w:val="7C67776C"/>
    <w:rsid w:val="7D0C663B"/>
    <w:rsid w:val="7D1D7C47"/>
    <w:rsid w:val="7D2539FF"/>
    <w:rsid w:val="7D337A4C"/>
    <w:rsid w:val="7D4E1FBD"/>
    <w:rsid w:val="7DF474F2"/>
    <w:rsid w:val="7EBF4221"/>
    <w:rsid w:val="7F081B49"/>
    <w:rsid w:val="7F305BDB"/>
    <w:rsid w:val="7F35114C"/>
    <w:rsid w:val="7F486C21"/>
    <w:rsid w:val="7F4C3BAC"/>
    <w:rsid w:val="7F931914"/>
    <w:rsid w:val="7FAA38BF"/>
    <w:rsid w:val="7FD8183D"/>
    <w:rsid w:val="FF3E947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39"/>
    <w:pPr>
      <w:ind w:left="420" w:leftChars="200"/>
    </w:pPr>
  </w:style>
  <w:style w:type="paragraph" w:styleId="5">
    <w:name w:val="annotation text"/>
    <w:basedOn w:val="1"/>
    <w:qFormat/>
    <w:uiPriority w:val="0"/>
    <w:pPr>
      <w:jc w:val="left"/>
    </w:pPr>
  </w:style>
  <w:style w:type="paragraph" w:styleId="6">
    <w:name w:val="Body Text"/>
    <w:basedOn w:val="1"/>
    <w:unhideWhenUsed/>
    <w:qFormat/>
    <w:uiPriority w:val="99"/>
    <w:pPr>
      <w:spacing w:after="120"/>
    </w:pPr>
  </w:style>
  <w:style w:type="paragraph" w:styleId="7">
    <w:name w:val="Body Text Indent"/>
    <w:basedOn w:val="1"/>
    <w:semiHidden/>
    <w:unhideWhenUsed/>
    <w:qFormat/>
    <w:uiPriority w:val="99"/>
    <w:pPr>
      <w:spacing w:after="120"/>
      <w:ind w:left="420" w:leftChars="200"/>
    </w:p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semiHidden/>
    <w:unhideWhenUsed/>
    <w:qFormat/>
    <w:uiPriority w:val="99"/>
    <w:pPr>
      <w:ind w:firstLine="420" w:firstLineChars="200"/>
    </w:pPr>
  </w:style>
  <w:style w:type="character" w:styleId="13">
    <w:name w:val="page number"/>
    <w:unhideWhenUsed/>
    <w:qFormat/>
    <w:uiPriority w:val="0"/>
    <w:rPr>
      <w:rFonts w:cs="Times New Roman"/>
    </w:rPr>
  </w:style>
  <w:style w:type="paragraph" w:styleId="14">
    <w:name w:val="List Paragraph"/>
    <w:basedOn w:val="1"/>
    <w:qFormat/>
    <w:uiPriority w:val="34"/>
    <w:pPr>
      <w:ind w:firstLine="420" w:firstLineChars="200"/>
    </w:pPr>
  </w:style>
  <w:style w:type="character" w:customStyle="1" w:styleId="15">
    <w:name w:val="fontstyle21"/>
    <w:basedOn w:val="12"/>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3831</Words>
  <Characters>4138</Characters>
  <Lines>0</Lines>
  <Paragraphs>0</Paragraphs>
  <TotalTime>0</TotalTime>
  <ScaleCrop>false</ScaleCrop>
  <LinksUpToDate>false</LinksUpToDate>
  <CharactersWithSpaces>4144</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2022-05-27T00:35:00Z</dcterms:created>
  <dc:creator>NS4</dc:creator>
  <cp:lastModifiedBy>胡靖</cp:lastModifiedBy>
  <dcterms:modified xsi:type="dcterms:W3CDTF">2023-12-12T08:55:24Z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5BCF411744D44A46B4A429C0C783451F</vt:lpwstr>
  </property>
</Properties>
</file>