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sz w:val="32"/>
          <w:szCs w:val="32"/>
        </w:rPr>
      </w:pPr>
      <w:r>
        <w:rPr>
          <w:rFonts w:hint="eastAsia" w:ascii="黑体" w:hAnsi="黑体" w:eastAsia="黑体" w:cs="黑体"/>
          <w:b w:val="0"/>
          <w:bCs w:val="0"/>
          <w:color w:val="auto"/>
          <w:sz w:val="44"/>
          <w:szCs w:val="44"/>
          <w:lang w:val="en-US" w:eastAsia="zh-CN"/>
        </w:rPr>
        <w:t>复印机框架协议采购需求</w:t>
      </w:r>
    </w:p>
    <w:p>
      <w:pPr>
        <w:pStyle w:val="3"/>
        <w:numPr>
          <w:ilvl w:val="0"/>
          <w:numId w:val="1"/>
        </w:numPr>
        <w:spacing w:before="240" w:after="120"/>
        <w:ind w:left="643" w:hanging="643" w:hangingChars="200"/>
        <w:jc w:val="center"/>
        <w:rPr>
          <w:rFonts w:ascii="仿宋" w:hAnsi="仿宋" w:eastAsia="仿宋"/>
          <w:sz w:val="32"/>
          <w:szCs w:val="32"/>
        </w:rPr>
      </w:pPr>
      <w:r>
        <w:rPr>
          <w:rFonts w:hint="eastAsia" w:ascii="仿宋" w:hAnsi="仿宋" w:eastAsia="仿宋"/>
          <w:sz w:val="32"/>
          <w:szCs w:val="32"/>
        </w:rPr>
        <w:t>资格要求</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6.本项目的特定资格要求：</w:t>
      </w:r>
    </w:p>
    <w:p>
      <w:pPr>
        <w:widowControl/>
        <w:snapToGrid w:val="0"/>
        <w:spacing w:line="520" w:lineRule="exact"/>
        <w:ind w:firstLine="480" w:firstLineChars="200"/>
        <w:jc w:val="left"/>
        <w:rPr>
          <w:rFonts w:hint="eastAsia" w:ascii="仿宋" w:hAnsi="仿宋" w:eastAsia="仿宋"/>
          <w:bCs/>
          <w:sz w:val="24"/>
          <w:szCs w:val="24"/>
          <w:u w:val="single"/>
        </w:rPr>
      </w:pPr>
      <w:r>
        <w:rPr>
          <w:rFonts w:hint="eastAsia" w:ascii="仿宋" w:hAnsi="仿宋" w:eastAsia="仿宋"/>
          <w:bCs/>
          <w:sz w:val="24"/>
          <w:szCs w:val="24"/>
          <w:u w:val="single"/>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widowControl/>
        <w:snapToGrid w:val="0"/>
        <w:spacing w:line="520" w:lineRule="exact"/>
        <w:ind w:firstLine="480" w:firstLineChars="200"/>
        <w:jc w:val="left"/>
        <w:rPr>
          <w:rFonts w:ascii="仿宋" w:hAnsi="仿宋" w:eastAsia="仿宋"/>
          <w:bCs/>
          <w:sz w:val="24"/>
          <w:szCs w:val="24"/>
        </w:rPr>
      </w:pPr>
    </w:p>
    <w:p>
      <w:pPr>
        <w:rPr>
          <w:rFonts w:ascii="仿宋" w:hAnsi="仿宋" w:eastAsia="仿宋"/>
          <w:bCs/>
          <w:sz w:val="24"/>
          <w:szCs w:val="24"/>
        </w:rPr>
      </w:pPr>
      <w:r>
        <w:rPr>
          <w:rFonts w:hint="eastAsia" w:ascii="仿宋" w:hAnsi="仿宋" w:eastAsia="仿宋"/>
          <w:bCs/>
          <w:sz w:val="24"/>
          <w:szCs w:val="24"/>
        </w:rPr>
        <w:br w:type="page"/>
      </w:r>
    </w:p>
    <w:p>
      <w:pPr>
        <w:pStyle w:val="3"/>
        <w:numPr>
          <w:ilvl w:val="0"/>
          <w:numId w:val="1"/>
        </w:numPr>
        <w:spacing w:before="240" w:after="120"/>
        <w:ind w:left="643" w:hanging="643" w:hangingChars="200"/>
        <w:jc w:val="center"/>
        <w:rPr>
          <w:rFonts w:ascii="仿宋" w:hAnsi="仿宋" w:eastAsia="仿宋"/>
          <w:sz w:val="32"/>
          <w:szCs w:val="32"/>
        </w:rPr>
      </w:pPr>
      <w:bookmarkStart w:id="0" w:name="_Toc17562"/>
      <w:r>
        <w:rPr>
          <w:rFonts w:hint="eastAsia" w:ascii="仿宋" w:hAnsi="仿宋" w:eastAsia="仿宋"/>
          <w:sz w:val="32"/>
          <w:szCs w:val="32"/>
        </w:rPr>
        <w:t>项目技术要求</w:t>
      </w:r>
      <w:bookmarkEnd w:id="0"/>
    </w:p>
    <w:p>
      <w:pPr>
        <w:pStyle w:val="4"/>
        <w:numPr>
          <w:ilvl w:val="0"/>
          <w:numId w:val="2"/>
        </w:numPr>
        <w:spacing w:before="0" w:after="0" w:line="360" w:lineRule="auto"/>
        <w:ind w:left="616" w:hanging="616"/>
        <w:jc w:val="left"/>
        <w:rPr>
          <w:rFonts w:ascii="仿宋" w:hAnsi="仿宋" w:eastAsia="仿宋"/>
          <w:bCs w:val="0"/>
          <w:sz w:val="28"/>
          <w:szCs w:val="28"/>
          <w:lang w:val="zh-CN"/>
        </w:rPr>
      </w:pPr>
      <w:r>
        <w:rPr>
          <w:rFonts w:hint="eastAsia" w:ascii="仿宋" w:hAnsi="仿宋" w:eastAsia="仿宋"/>
          <w:bCs w:val="0"/>
          <w:sz w:val="28"/>
          <w:szCs w:val="28"/>
          <w:lang w:val="zh-CN"/>
        </w:rPr>
        <w:t>项目概况</w:t>
      </w:r>
    </w:p>
    <w:tbl>
      <w:tblPr>
        <w:tblStyle w:val="13"/>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rPr>
                <w:rFonts w:ascii="仿宋" w:hAnsi="仿宋" w:eastAsia="仿宋" w:cs="Times New Roman"/>
                <w:color w:val="000000"/>
                <w:sz w:val="24"/>
                <w:szCs w:val="24"/>
              </w:rPr>
            </w:pPr>
            <w:r>
              <w:rPr>
                <w:rFonts w:hint="eastAsia" w:ascii="仿宋" w:hAnsi="仿宋" w:eastAsia="仿宋" w:cs="Times New Roman"/>
                <w:color w:val="000000"/>
                <w:sz w:val="24"/>
                <w:szCs w:val="24"/>
              </w:rPr>
              <w:t>复印机</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ascii="仿宋" w:hAnsi="仿宋" w:eastAsia="仿宋" w:cs="Times New Roman"/>
                <w:b/>
                <w:bCs/>
                <w:sz w:val="24"/>
                <w:szCs w:val="24"/>
              </w:rPr>
            </w:pPr>
            <w:r>
              <w:rPr>
                <w:rFonts w:hint="eastAsia" w:ascii="仿宋" w:hAnsi="仿宋" w:eastAsia="仿宋" w:cs="Times New Roman"/>
                <w:b/>
                <w:bCs/>
                <w:sz w:val="24"/>
                <w:szCs w:val="24"/>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cs="Times New Roman"/>
                <w:sz w:val="24"/>
                <w:szCs w:val="24"/>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ascii="仿宋" w:hAnsi="仿宋" w:eastAsia="仿宋" w:cs="Times New Roman"/>
                <w:b/>
                <w:bCs/>
                <w:sz w:val="24"/>
                <w:szCs w:val="24"/>
              </w:rPr>
            </w:pPr>
            <w:r>
              <w:rPr>
                <w:rFonts w:hint="eastAsia" w:ascii="仿宋" w:hAnsi="仿宋" w:eastAsia="仿宋" w:cs="宋体"/>
                <w:b/>
                <w:bCs/>
                <w:sz w:val="24"/>
                <w:szCs w:val="24"/>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rPr>
                <w:rFonts w:ascii="仿宋" w:hAnsi="仿宋" w:eastAsia="仿宋" w:cs="Times New Roman"/>
                <w:sz w:val="24"/>
                <w:szCs w:val="24"/>
              </w:rPr>
            </w:pPr>
            <w:r>
              <w:rPr>
                <w:rFonts w:hint="eastAsia" w:ascii="仿宋" w:hAnsi="仿宋" w:eastAsia="仿宋" w:cs="宋体"/>
                <w:bCs/>
                <w:sz w:val="24"/>
                <w:szCs w:val="24"/>
                <w:lang w:eastAsia="zh-CN"/>
              </w:rPr>
              <w:t>鄂州市各级预算单位</w:t>
            </w:r>
            <w:bookmarkStart w:id="1" w:name="_GoBack"/>
            <w:bookmarkEnd w:id="1"/>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rPr>
              <w:t>框架协议有效期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cs="宋体"/>
                <w:bCs/>
                <w:sz w:val="24"/>
                <w:szCs w:val="24"/>
                <w:lang w:val="en-US" w:eastAsia="zh-CN"/>
              </w:rPr>
              <w:t>2024年1月1日</w:t>
            </w:r>
            <w:r>
              <w:rPr>
                <w:rFonts w:hint="eastAsia" w:ascii="仿宋" w:hAnsi="仿宋" w:eastAsia="仿宋" w:cs="宋体"/>
                <w:bCs/>
                <w:sz w:val="24"/>
                <w:szCs w:val="24"/>
              </w:rPr>
              <w:t>起至202</w:t>
            </w:r>
            <w:r>
              <w:rPr>
                <w:rFonts w:hint="eastAsia" w:ascii="仿宋" w:hAnsi="仿宋" w:eastAsia="仿宋" w:cs="宋体"/>
                <w:bCs/>
                <w:sz w:val="24"/>
                <w:szCs w:val="24"/>
                <w:lang w:val="en-US" w:eastAsia="zh-CN"/>
              </w:rPr>
              <w:t>4</w:t>
            </w:r>
            <w:r>
              <w:rPr>
                <w:rFonts w:hint="eastAsia" w:ascii="仿宋" w:hAnsi="仿宋" w:eastAsia="仿宋" w:cs="宋体"/>
                <w:bCs/>
                <w:sz w:val="24"/>
                <w:szCs w:val="24"/>
              </w:rPr>
              <w:t>年12月31日止。</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cs="宋体"/>
                <w:bCs/>
                <w:sz w:val="24"/>
                <w:szCs w:val="24"/>
              </w:rPr>
              <w:t>按照《关于印发中小企业划型标准规定的通知》（工信部联企业〔2011〕300号）的标准，本包标的属于“工业”。</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rPr>
              <w:t>备注</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宋体"/>
                <w:bCs/>
                <w:sz w:val="24"/>
                <w:szCs w:val="24"/>
              </w:rPr>
            </w:pPr>
            <w:r>
              <w:rPr>
                <w:rFonts w:hint="eastAsia" w:ascii="仿宋" w:hAnsi="仿宋" w:eastAsia="仿宋" w:cs="宋体"/>
                <w:bCs/>
                <w:sz w:val="24"/>
                <w:szCs w:val="24"/>
              </w:rPr>
              <w:t>/</w:t>
            </w:r>
          </w:p>
        </w:tc>
      </w:tr>
    </w:tbl>
    <w:p>
      <w:pPr>
        <w:rPr>
          <w:lang w:val="zh-CN"/>
        </w:rPr>
      </w:pPr>
      <w:r>
        <w:rPr>
          <w:rFonts w:hint="eastAsia"/>
          <w:lang w:val="zh-CN"/>
        </w:rPr>
        <w:br w:type="page"/>
      </w:r>
    </w:p>
    <w:p>
      <w:pPr>
        <w:pStyle w:val="4"/>
        <w:numPr>
          <w:ilvl w:val="0"/>
          <w:numId w:val="2"/>
        </w:numPr>
        <w:spacing w:before="0" w:after="0" w:line="360" w:lineRule="auto"/>
        <w:ind w:left="616" w:hanging="616"/>
        <w:jc w:val="left"/>
        <w:rPr>
          <w:rFonts w:ascii="仿宋" w:hAnsi="仿宋" w:eastAsia="仿宋"/>
          <w:bCs w:val="0"/>
          <w:sz w:val="28"/>
          <w:szCs w:val="28"/>
          <w:lang w:val="zh-CN"/>
        </w:rPr>
      </w:pPr>
      <w:r>
        <w:rPr>
          <w:rFonts w:hint="eastAsia" w:ascii="仿宋" w:hAnsi="仿宋" w:eastAsia="仿宋"/>
          <w:bCs w:val="0"/>
          <w:sz w:val="28"/>
          <w:szCs w:val="28"/>
          <w:lang w:val="zh-CN"/>
        </w:rPr>
        <w:t>技术要求</w:t>
      </w:r>
    </w:p>
    <w:p>
      <w:pPr>
        <w:numPr>
          <w:ilvl w:val="0"/>
          <w:numId w:val="3"/>
        </w:numPr>
        <w:spacing w:line="360" w:lineRule="auto"/>
        <w:ind w:left="420"/>
        <w:rPr>
          <w:rFonts w:ascii="仿宋" w:hAnsi="仿宋" w:eastAsia="仿宋" w:cs="宋体"/>
          <w:b/>
          <w:sz w:val="24"/>
          <w:szCs w:val="24"/>
        </w:rPr>
      </w:pPr>
      <w:r>
        <w:rPr>
          <w:rFonts w:hint="eastAsia" w:ascii="仿宋" w:hAnsi="仿宋" w:eastAsia="仿宋" w:cs="宋体"/>
          <w:b/>
          <w:sz w:val="24"/>
          <w:szCs w:val="24"/>
        </w:rPr>
        <w:t>本次征集分包如下：</w:t>
      </w:r>
    </w:p>
    <w:p>
      <w:pPr>
        <w:spacing w:line="360" w:lineRule="auto"/>
        <w:rPr>
          <w:rFonts w:ascii="仿宋" w:hAnsi="仿宋" w:eastAsia="仿宋" w:cs="宋体"/>
          <w:b/>
          <w:sz w:val="24"/>
          <w:szCs w:val="24"/>
        </w:rPr>
      </w:pPr>
      <w:r>
        <w:rPr>
          <w:rFonts w:hint="eastAsia" w:ascii="仿宋" w:hAnsi="仿宋" w:eastAsia="仿宋" w:cs="宋体"/>
          <w:b/>
          <w:sz w:val="24"/>
          <w:szCs w:val="24"/>
        </w:rPr>
        <w:t>黑白复印机</w:t>
      </w:r>
    </w:p>
    <w:tbl>
      <w:tblPr>
        <w:tblStyle w:val="14"/>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009"/>
        <w:gridCol w:w="5026"/>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954" w:type="dxa"/>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包号</w:t>
            </w:r>
          </w:p>
        </w:tc>
        <w:tc>
          <w:tcPr>
            <w:tcW w:w="7035" w:type="dxa"/>
            <w:gridSpan w:val="2"/>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基本配置</w:t>
            </w:r>
          </w:p>
        </w:tc>
        <w:tc>
          <w:tcPr>
            <w:tcW w:w="1485" w:type="dxa"/>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单台限价（</w:t>
            </w:r>
            <w:r>
              <w:rPr>
                <w:rFonts w:hint="eastAsia" w:ascii="仿宋" w:hAnsi="仿宋" w:eastAsia="仿宋" w:cs="Times New Roman"/>
                <w:bCs/>
                <w:kern w:val="0"/>
                <w:sz w:val="24"/>
                <w:szCs w:val="24"/>
                <w:lang w:val="en-US" w:eastAsia="zh-CN"/>
              </w:rPr>
              <w:t>万</w:t>
            </w:r>
            <w:r>
              <w:rPr>
                <w:rFonts w:ascii="仿宋" w:hAnsi="仿宋" w:eastAsia="仿宋" w:cs="Times New Roman"/>
                <w:bCs/>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包1</w:t>
            </w:r>
          </w:p>
          <w:p>
            <w:pPr>
              <w:pStyle w:val="2"/>
            </w:pPr>
            <w:r>
              <w:rPr>
                <w:rFonts w:hint="eastAsia" w:ascii="仿宋" w:hAnsi="仿宋" w:eastAsia="仿宋" w:cs="Times New Roman"/>
                <w:bCs/>
                <w:kern w:val="0"/>
                <w:sz w:val="24"/>
                <w:szCs w:val="24"/>
              </w:rPr>
              <w:t>(黑白)</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0.</w:t>
            </w:r>
            <w:r>
              <w:rPr>
                <w:rFonts w:hint="eastAsia" w:ascii="仿宋" w:hAnsi="仿宋" w:eastAsia="仿宋" w:cs="Times New Roman"/>
                <w:bCs/>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0</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≥256MB</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≥单纸盒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250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包2</w:t>
            </w:r>
          </w:p>
          <w:p>
            <w:pPr>
              <w:pStyle w:val="2"/>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2</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≥256MB</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≥单纸盒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250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包3</w:t>
            </w:r>
          </w:p>
          <w:p>
            <w:pPr>
              <w:pStyle w:val="2"/>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1</w:t>
            </w:r>
            <w:r>
              <w:rPr>
                <w:rFonts w:hint="eastAsia" w:ascii="仿宋" w:hAnsi="仿宋" w:eastAsia="仿宋" w:cs="Times New Roman"/>
                <w:bCs/>
                <w:kern w:val="0"/>
                <w:sz w:val="24"/>
                <w:szCs w:val="24"/>
                <w:lang w:val="en-US" w:eastAsia="zh-CN"/>
              </w:rPr>
              <w:t>.</w:t>
            </w:r>
            <w:r>
              <w:rPr>
                <w:rFonts w:hint="eastAsia" w:ascii="仿宋" w:hAnsi="仿宋" w:eastAsia="仿宋" w:cs="Times New Roman"/>
                <w:bCs/>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5</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≥512M</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≥单纸盒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250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包4</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是</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5</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≥1G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≥双纸盒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500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包5</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2</w:t>
            </w:r>
            <w:r>
              <w:rPr>
                <w:rFonts w:hint="eastAsia" w:ascii="仿宋" w:hAnsi="仿宋" w:eastAsia="仿宋" w:cs="Times New Roman"/>
                <w:bCs/>
                <w:kern w:val="0"/>
                <w:sz w:val="24"/>
                <w:szCs w:val="24"/>
                <w:lang w:val="en-US" w:eastAsia="zh-CN"/>
              </w:rPr>
              <w:t>.</w:t>
            </w:r>
            <w:r>
              <w:rPr>
                <w:rFonts w:hint="eastAsia" w:ascii="仿宋" w:hAnsi="仿宋" w:eastAsia="仿宋" w:cs="Times New Roman"/>
                <w:bCs/>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是</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30</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≥双纸盒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1000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包6</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黑白</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是</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40</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≥双纸盒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1000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bl>
    <w:p/>
    <w:p>
      <w:pPr>
        <w:spacing w:line="360" w:lineRule="auto"/>
        <w:rPr>
          <w:rFonts w:ascii="仿宋" w:hAnsi="仿宋" w:eastAsia="仿宋" w:cs="宋体"/>
          <w:b/>
          <w:sz w:val="24"/>
          <w:szCs w:val="24"/>
        </w:rPr>
      </w:pPr>
      <w:r>
        <w:rPr>
          <w:rFonts w:hint="eastAsia" w:ascii="仿宋" w:hAnsi="仿宋" w:eastAsia="仿宋" w:cs="宋体"/>
          <w:b/>
          <w:sz w:val="24"/>
          <w:szCs w:val="24"/>
        </w:rPr>
        <w:t>彩色复印机</w:t>
      </w:r>
    </w:p>
    <w:tbl>
      <w:tblPr>
        <w:tblStyle w:val="14"/>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009"/>
        <w:gridCol w:w="5026"/>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包7</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1</w:t>
            </w:r>
            <w:r>
              <w:rPr>
                <w:rFonts w:hint="eastAsia" w:ascii="仿宋" w:hAnsi="仿宋" w:eastAsia="仿宋" w:cs="Times New Roman"/>
                <w:bCs/>
                <w:kern w:val="0"/>
                <w:sz w:val="24"/>
                <w:szCs w:val="24"/>
                <w:lang w:val="en-US" w:eastAsia="zh-CN"/>
              </w:rPr>
              <w:t>.</w:t>
            </w:r>
            <w:r>
              <w:rPr>
                <w:rFonts w:hint="eastAsia" w:ascii="仿宋" w:hAnsi="仿宋" w:eastAsia="仿宋" w:cs="Times New Roman"/>
                <w:bCs/>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20</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≥1G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≥单纸盒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500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包8</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20</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≥1G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≥双纸盒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1000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包9</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2</w:t>
            </w:r>
            <w:r>
              <w:rPr>
                <w:rFonts w:hint="eastAsia" w:ascii="仿宋" w:hAnsi="仿宋" w:eastAsia="仿宋" w:cs="Times New Roman"/>
                <w:bCs/>
                <w:kern w:val="0"/>
                <w:sz w:val="24"/>
                <w:szCs w:val="24"/>
                <w:lang w:val="en-US" w:eastAsia="zh-CN"/>
              </w:rPr>
              <w:t>.</w:t>
            </w:r>
            <w:r>
              <w:rPr>
                <w:rFonts w:hint="eastAsia" w:ascii="仿宋" w:hAnsi="仿宋" w:eastAsia="仿宋" w:cs="Times New Roman"/>
                <w:bCs/>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25</w:t>
            </w:r>
            <w:r>
              <w:rPr>
                <w:rFonts w:ascii="仿宋" w:hAnsi="仿宋" w:eastAsia="仿宋" w:cs="Times New Roman"/>
                <w:bCs/>
                <w:kern w:val="0"/>
                <w:sz w:val="24"/>
                <w:szCs w:val="24"/>
              </w:rPr>
              <w:t>页/分钟</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≥1G</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≥双纸盒</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1000</w:t>
            </w:r>
            <w:r>
              <w:rPr>
                <w:rFonts w:ascii="仿宋" w:hAnsi="仿宋" w:eastAsia="仿宋" w:cs="Times New Roman"/>
                <w:bCs/>
                <w:kern w:val="0"/>
                <w:sz w:val="24"/>
                <w:szCs w:val="24"/>
              </w:rPr>
              <w:t>页</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pStyle w:val="2"/>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包10</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1.类型</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彩色</w:t>
            </w:r>
          </w:p>
        </w:tc>
        <w:tc>
          <w:tcPr>
            <w:tcW w:w="1485"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2.最大打印幅面</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3.是否带硬盘</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是</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4.复印速度</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30</w:t>
            </w:r>
            <w:r>
              <w:rPr>
                <w:rFonts w:ascii="仿宋" w:hAnsi="仿宋" w:eastAsia="仿宋" w:cs="Times New Roman"/>
                <w:bCs/>
                <w:kern w:val="0"/>
                <w:sz w:val="24"/>
                <w:szCs w:val="24"/>
              </w:rPr>
              <w:t>页/分钟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5.双面自动送稿器</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6.复印分辨率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7.双面复印功能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标配</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8.内存</w:t>
            </w:r>
            <w:r>
              <w:rPr>
                <w:rFonts w:hint="eastAsia" w:ascii="仿宋" w:hAnsi="仿宋" w:eastAsia="仿宋" w:cs="Times New Roman"/>
                <w:bCs/>
                <w:kern w:val="0"/>
                <w:sz w:val="24"/>
                <w:szCs w:val="24"/>
                <w:lang w:val="en-US" w:eastAsia="zh-CN"/>
              </w:rPr>
              <w:t>容量</w:t>
            </w:r>
          </w:p>
        </w:tc>
        <w:tc>
          <w:tcPr>
            <w:tcW w:w="5026" w:type="dxa"/>
          </w:tcPr>
          <w:p>
            <w:pPr>
              <w:widowControl/>
              <w:tabs>
                <w:tab w:val="left" w:pos="723"/>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9.纸盒数量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≥双纸盒</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10.纸张容量</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1000</w:t>
            </w:r>
            <w:r>
              <w:rPr>
                <w:rFonts w:ascii="仿宋" w:hAnsi="仿宋" w:eastAsia="仿宋" w:cs="Times New Roman"/>
                <w:bCs/>
                <w:kern w:val="0"/>
                <w:sz w:val="24"/>
                <w:szCs w:val="24"/>
              </w:rPr>
              <w:t>页</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11.缩放比率</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12.打印功能</w:t>
            </w:r>
          </w:p>
        </w:tc>
        <w:tc>
          <w:tcPr>
            <w:tcW w:w="5026"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USB+网络打印</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2009" w:type="dxa"/>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13.质保年限</w:t>
            </w:r>
          </w:p>
        </w:tc>
        <w:tc>
          <w:tcPr>
            <w:tcW w:w="5026" w:type="dxa"/>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bl>
    <w:p>
      <w:pPr>
        <w:rPr>
          <w:lang w:val="zh-CN"/>
        </w:rPr>
      </w:pPr>
    </w:p>
    <w:p>
      <w:pPr>
        <w:pStyle w:val="2"/>
        <w:rPr>
          <w:rFonts w:hint="eastAsia" w:eastAsiaTheme="minorEastAsia"/>
          <w:lang w:val="en-US" w:eastAsia="zh-CN"/>
        </w:rPr>
      </w:pPr>
      <w:r>
        <w:rPr>
          <w:rFonts w:hint="eastAsia" w:ascii="仿宋" w:hAnsi="仿宋" w:eastAsia="仿宋" w:cs="宋体"/>
          <w:b/>
          <w:bCs w:val="0"/>
          <w:color w:val="C00000"/>
          <w:kern w:val="2"/>
          <w:sz w:val="24"/>
          <w:szCs w:val="24"/>
          <w:lang w:val="en-US" w:eastAsia="zh-CN" w:bidi="ar-SA"/>
        </w:rPr>
        <w:t>注：所投复印机价格应包含原装硒鼓（含碳粉）及相关零配件</w:t>
      </w:r>
    </w:p>
    <w:p>
      <w:pPr>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2、响应要求：供应商所投的货物和服务的技术、商务等条件不得低于采购需求，货物原则上应当是市场上已有销售的规格型号，不得是专供政府采购的产品。每个投标供应商根据分包要求每个分包只能提交一款复印机进行投标，投标报价均为政策补贴后价格。</w:t>
      </w:r>
    </w:p>
    <w:p>
      <w:pPr>
        <w:spacing w:line="360" w:lineRule="auto"/>
        <w:ind w:left="420"/>
        <w:rPr>
          <w:rFonts w:ascii="仿宋" w:hAnsi="仿宋" w:eastAsia="仿宋" w:cs="宋体"/>
          <w:bCs/>
          <w:sz w:val="24"/>
          <w:szCs w:val="24"/>
        </w:rPr>
      </w:pPr>
      <w:r>
        <w:rPr>
          <w:rFonts w:hint="eastAsia" w:ascii="仿宋" w:hAnsi="仿宋" w:eastAsia="仿宋" w:cs="宋体"/>
          <w:bCs/>
          <w:sz w:val="24"/>
          <w:szCs w:val="24"/>
        </w:rPr>
        <w:t>3、供应商所投产品需要提供技术参数如下：</w:t>
      </w:r>
    </w:p>
    <w:tbl>
      <w:tblPr>
        <w:tblStyle w:val="13"/>
        <w:tblW w:w="8686" w:type="dxa"/>
        <w:jc w:val="center"/>
        <w:tblLayout w:type="fixed"/>
        <w:tblCellMar>
          <w:top w:w="0" w:type="dxa"/>
          <w:left w:w="108" w:type="dxa"/>
          <w:bottom w:w="0" w:type="dxa"/>
          <w:right w:w="108" w:type="dxa"/>
        </w:tblCellMar>
      </w:tblPr>
      <w:tblGrid>
        <w:gridCol w:w="743"/>
        <w:gridCol w:w="2247"/>
        <w:gridCol w:w="2596"/>
        <w:gridCol w:w="3100"/>
      </w:tblGrid>
      <w:tr>
        <w:tblPrEx>
          <w:tblCellMar>
            <w:top w:w="0" w:type="dxa"/>
            <w:left w:w="108" w:type="dxa"/>
            <w:bottom w:w="0" w:type="dxa"/>
            <w:right w:w="108" w:type="dxa"/>
          </w:tblCellMar>
        </w:tblPrEx>
        <w:trPr>
          <w:trHeight w:val="285" w:hRule="atLeast"/>
          <w:jc w:val="center"/>
        </w:trPr>
        <w:tc>
          <w:tcPr>
            <w:tcW w:w="743"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2247"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参数项</w:t>
            </w:r>
          </w:p>
        </w:tc>
        <w:tc>
          <w:tcPr>
            <w:tcW w:w="2596"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参数值</w:t>
            </w:r>
          </w:p>
        </w:tc>
        <w:tc>
          <w:tcPr>
            <w:tcW w:w="3100"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投标要求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品牌</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型号</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3</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价格</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不得高于限价</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4</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类型</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黑白或彩色</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宋体"/>
                <w:b/>
                <w:bCs/>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5</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最大打印幅面</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A3</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宋体"/>
                <w:b/>
                <w:bCs/>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6</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是否带硬盘</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如带硬盘，则需填写类型及容量</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7</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复印速度</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8</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双面自动送稿器</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9</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复印分辨率</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ascii="仿宋" w:hAnsi="仿宋" w:eastAsia="仿宋" w:cs="Times New Roman"/>
                <w:bCs/>
                <w:kern w:val="0"/>
                <w:sz w:val="24"/>
                <w:szCs w:val="24"/>
              </w:rPr>
              <w:t>≥600*600dpi</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10</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双面复印功能</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2596" w:type="dxa"/>
            <w:tcBorders>
              <w:top w:val="nil"/>
              <w:left w:val="nil"/>
              <w:bottom w:val="single" w:color="auto" w:sz="8" w:space="0"/>
              <w:right w:val="single" w:color="auto" w:sz="8" w:space="0"/>
            </w:tcBorders>
            <w:shd w:val="clear" w:color="auto" w:fill="auto"/>
            <w:vAlign w:val="center"/>
          </w:tcPr>
          <w:p>
            <w:pPr>
              <w:widowControl/>
              <w:tabs>
                <w:tab w:val="left" w:pos="723"/>
              </w:tabs>
              <w:spacing w:line="240" w:lineRule="atLeast"/>
              <w:ind w:left="-94" w:leftChars="-45" w:right="-107" w:rightChars="-51"/>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纸盒数量</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单纸盒、双纸盒等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13</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纸张容量</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14</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缩放比率</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25-400%</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15</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打印功能</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Times New Roman"/>
                <w:bCs/>
                <w:kern w:val="0"/>
                <w:sz w:val="24"/>
                <w:szCs w:val="24"/>
              </w:rPr>
            </w:pPr>
            <w:r>
              <w:rPr>
                <w:rFonts w:hint="eastAsia" w:ascii="仿宋" w:hAnsi="仿宋" w:eastAsia="仿宋" w:cs="Times New Roman"/>
                <w:bCs/>
                <w:kern w:val="0"/>
                <w:sz w:val="24"/>
                <w:szCs w:val="24"/>
              </w:rPr>
              <w:t>USB、有线网络、无线网络等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16</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质保年限</w:t>
            </w:r>
          </w:p>
        </w:tc>
        <w:tc>
          <w:tcPr>
            <w:tcW w:w="2596" w:type="dxa"/>
            <w:tcBorders>
              <w:top w:val="nil"/>
              <w:left w:val="nil"/>
              <w:bottom w:val="single" w:color="auto" w:sz="8" w:space="0"/>
              <w:right w:val="single" w:color="auto" w:sz="8" w:space="0"/>
            </w:tcBorders>
            <w:shd w:val="clear" w:color="auto" w:fill="auto"/>
            <w:vAlign w:val="center"/>
          </w:tcPr>
          <w:p>
            <w:pPr>
              <w:widowControl/>
              <w:spacing w:line="240" w:lineRule="atLeast"/>
              <w:ind w:left="-94" w:leftChars="-45" w:right="-107" w:rightChars="-51"/>
              <w:rPr>
                <w:rFonts w:ascii="仿宋" w:hAnsi="仿宋" w:eastAsia="仿宋" w:cs="仿宋"/>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1年</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17</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预热时间</w:t>
            </w:r>
          </w:p>
          <w:p>
            <w:pPr>
              <w:pStyle w:val="2"/>
              <w:jc w:val="center"/>
              <w:rPr>
                <w:rFonts w:ascii="仿宋" w:hAnsi="仿宋" w:eastAsia="仿宋" w:cs="仿宋"/>
                <w:kern w:val="0"/>
                <w:sz w:val="24"/>
                <w:szCs w:val="24"/>
              </w:rPr>
            </w:pPr>
            <w:r>
              <w:rPr>
                <w:rFonts w:hint="eastAsia" w:ascii="仿宋" w:hAnsi="仿宋" w:eastAsia="仿宋" w:cs="仿宋"/>
                <w:kern w:val="0"/>
                <w:sz w:val="24"/>
                <w:szCs w:val="24"/>
              </w:rPr>
              <w:t>（从主电源开启）</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18</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首页输出时间</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19</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扫描速度</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20</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打印速度</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21</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送稿器容量</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22</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内置接口</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高速USB2.0端口、网络端口等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23</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操作系统</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color w:val="0D0D0D" w:themeColor="text1" w:themeTint="F2"/>
                <w:kern w:val="0"/>
                <w:sz w:val="24"/>
                <w:szCs w:val="24"/>
                <w:lang w:bidi="ar"/>
                <w14:textFill>
                  <w14:solidFill>
                    <w14:schemeClr w14:val="tx1">
                      <w14:lumMod w14:val="95000"/>
                      <w14:lumOff w14:val="5000"/>
                    </w14:schemeClr>
                  </w14:solidFill>
                </w14:textFill>
              </w:rPr>
              <w:t>Windows、Linux、麒麟等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24</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包装清单</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25</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售后服务</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26</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控制面板（尺寸）</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27</w:t>
            </w:r>
          </w:p>
        </w:tc>
        <w:tc>
          <w:tcPr>
            <w:tcW w:w="2247" w:type="dxa"/>
            <w:tcBorders>
              <w:top w:val="nil"/>
              <w:left w:val="nil"/>
              <w:bottom w:val="single" w:color="auto" w:sz="8"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打印分辨率</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4" w:space="0"/>
              <w:right w:val="single" w:color="auto" w:sz="8"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28</w:t>
            </w:r>
          </w:p>
        </w:tc>
        <w:tc>
          <w:tcPr>
            <w:tcW w:w="2247" w:type="dxa"/>
            <w:tcBorders>
              <w:top w:val="nil"/>
              <w:left w:val="nil"/>
              <w:bottom w:val="single" w:color="auto" w:sz="4" w:space="0"/>
              <w:right w:val="single" w:color="auto" w:sz="8"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外观尺寸</w:t>
            </w:r>
          </w:p>
        </w:tc>
        <w:tc>
          <w:tcPr>
            <w:tcW w:w="2596"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0"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29</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功耗</w:t>
            </w:r>
          </w:p>
        </w:tc>
        <w:tc>
          <w:tcPr>
            <w:tcW w:w="2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　</w:t>
            </w:r>
          </w:p>
        </w:tc>
        <w:tc>
          <w:tcPr>
            <w:tcW w:w="3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30</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噪音</w:t>
            </w:r>
          </w:p>
        </w:tc>
        <w:tc>
          <w:tcPr>
            <w:tcW w:w="2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p>
        </w:tc>
        <w:tc>
          <w:tcPr>
            <w:tcW w:w="3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31</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jc w:val="center"/>
              <w:rPr>
                <w:rFonts w:ascii="仿宋" w:hAnsi="仿宋" w:eastAsia="仿宋" w:cs="仿宋"/>
                <w:kern w:val="0"/>
                <w:sz w:val="24"/>
                <w:szCs w:val="24"/>
              </w:rPr>
            </w:pPr>
            <w:r>
              <w:rPr>
                <w:rFonts w:hint="eastAsia" w:ascii="仿宋" w:hAnsi="仿宋" w:eastAsia="仿宋" w:cs="仿宋"/>
                <w:kern w:val="0"/>
                <w:sz w:val="24"/>
                <w:szCs w:val="24"/>
              </w:rPr>
              <w:t>主机重量</w:t>
            </w:r>
          </w:p>
        </w:tc>
        <w:tc>
          <w:tcPr>
            <w:tcW w:w="2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p>
        </w:tc>
        <w:tc>
          <w:tcPr>
            <w:tcW w:w="3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bl>
    <w:p>
      <w:pPr>
        <w:spacing w:line="360" w:lineRule="auto"/>
        <w:rPr>
          <w:rFonts w:ascii="仿宋" w:hAnsi="仿宋" w:eastAsia="仿宋" w:cs="宋体"/>
          <w:bCs/>
          <w:sz w:val="24"/>
          <w:szCs w:val="24"/>
        </w:rPr>
      </w:pPr>
    </w:p>
    <w:p>
      <w:pPr>
        <w:spacing w:line="360" w:lineRule="auto"/>
        <w:rPr>
          <w:rFonts w:ascii="仿宋" w:hAnsi="仿宋" w:eastAsia="仿宋" w:cs="宋体"/>
          <w:bCs/>
          <w:sz w:val="24"/>
          <w:szCs w:val="24"/>
        </w:rPr>
      </w:pPr>
      <w:r>
        <w:rPr>
          <w:rFonts w:hint="eastAsia" w:ascii="仿宋" w:hAnsi="仿宋" w:eastAsia="仿宋" w:cs="宋体"/>
          <w:bCs/>
          <w:sz w:val="24"/>
          <w:szCs w:val="24"/>
        </w:rPr>
        <w:t>4、供应商根据响应的复印机情况列明原装耗材的规格参数及价格：</w:t>
      </w:r>
    </w:p>
    <w:p>
      <w:pPr>
        <w:pStyle w:val="2"/>
        <w:rPr>
          <w:rFonts w:hint="eastAsia" w:ascii="仿宋" w:hAnsi="仿宋" w:eastAsia="仿宋" w:cs="宋体"/>
          <w:bCs/>
          <w:sz w:val="24"/>
          <w:szCs w:val="24"/>
        </w:rPr>
      </w:pPr>
    </w:p>
    <w:p>
      <w:pPr>
        <w:pStyle w:val="2"/>
        <w:rPr>
          <w:rFonts w:hint="eastAsia" w:ascii="仿宋" w:hAnsi="仿宋" w:eastAsia="仿宋" w:cs="宋体"/>
          <w:bCs/>
          <w:sz w:val="24"/>
          <w:szCs w:val="24"/>
        </w:rPr>
      </w:pPr>
    </w:p>
    <w:p>
      <w:pPr>
        <w:pStyle w:val="2"/>
        <w:rPr>
          <w:rFonts w:hint="eastAsia" w:ascii="仿宋" w:hAnsi="仿宋" w:eastAsia="仿宋" w:cs="宋体"/>
          <w:bCs/>
          <w:sz w:val="24"/>
          <w:szCs w:val="24"/>
        </w:rPr>
      </w:pPr>
    </w:p>
    <w:p>
      <w:pPr>
        <w:pStyle w:val="2"/>
        <w:rPr>
          <w:rFonts w:ascii="仿宋" w:hAnsi="仿宋" w:eastAsia="仿宋" w:cs="宋体"/>
          <w:bCs/>
          <w:sz w:val="24"/>
          <w:szCs w:val="24"/>
        </w:rPr>
      </w:pPr>
      <w:r>
        <w:rPr>
          <w:rFonts w:hint="eastAsia" w:ascii="仿宋" w:hAnsi="仿宋" w:eastAsia="仿宋" w:cs="宋体"/>
          <w:bCs/>
          <w:sz w:val="24"/>
          <w:szCs w:val="24"/>
        </w:rPr>
        <w:t>（1）鼓粉分离</w:t>
      </w:r>
    </w:p>
    <w:tbl>
      <w:tblPr>
        <w:tblStyle w:val="13"/>
        <w:tblW w:w="8535" w:type="dxa"/>
        <w:tblInd w:w="35" w:type="dxa"/>
        <w:tblLayout w:type="fixed"/>
        <w:tblCellMar>
          <w:top w:w="0" w:type="dxa"/>
          <w:left w:w="0" w:type="dxa"/>
          <w:bottom w:w="0" w:type="dxa"/>
          <w:right w:w="0" w:type="dxa"/>
        </w:tblCellMar>
      </w:tblPr>
      <w:tblGrid>
        <w:gridCol w:w="883"/>
        <w:gridCol w:w="1367"/>
        <w:gridCol w:w="1433"/>
        <w:gridCol w:w="2550"/>
        <w:gridCol w:w="2302"/>
      </w:tblGrid>
      <w:tr>
        <w:tblPrEx>
          <w:tblCellMar>
            <w:top w:w="0" w:type="dxa"/>
            <w:left w:w="0" w:type="dxa"/>
            <w:bottom w:w="0" w:type="dxa"/>
            <w:right w:w="0"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包号</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复印机型号</w:t>
            </w:r>
          </w:p>
        </w:tc>
        <w:tc>
          <w:tcPr>
            <w:tcW w:w="1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复印机价格</w:t>
            </w:r>
          </w:p>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（单位：元）</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硒鼓单价（单位：元），打印量（单位：页）</w:t>
            </w:r>
          </w:p>
        </w:tc>
        <w:tc>
          <w:tcPr>
            <w:tcW w:w="2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碳粉单价（单位：元）</w:t>
            </w:r>
          </w:p>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打印量（单位：页）</w:t>
            </w:r>
          </w:p>
        </w:tc>
      </w:tr>
      <w:tr>
        <w:tblPrEx>
          <w:tblCellMar>
            <w:top w:w="0" w:type="dxa"/>
            <w:left w:w="0" w:type="dxa"/>
            <w:bottom w:w="0" w:type="dxa"/>
            <w:right w:w="0"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p>
        </w:tc>
        <w:tc>
          <w:tcPr>
            <w:tcW w:w="1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2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4"/>
                <w:szCs w:val="24"/>
              </w:rPr>
            </w:pPr>
          </w:p>
        </w:tc>
      </w:tr>
      <w:tr>
        <w:tblPrEx>
          <w:tblCellMar>
            <w:top w:w="0" w:type="dxa"/>
            <w:left w:w="0" w:type="dxa"/>
            <w:bottom w:w="0" w:type="dxa"/>
            <w:right w:w="0" w:type="dxa"/>
          </w:tblCellMar>
        </w:tblPrEx>
        <w:trPr>
          <w:trHeight w:val="270"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p>
        </w:tc>
        <w:tc>
          <w:tcPr>
            <w:tcW w:w="1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230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270" w:hRule="atLeast"/>
        </w:trPr>
        <w:tc>
          <w:tcPr>
            <w:tcW w:w="8535"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w:t>
            </w:r>
          </w:p>
        </w:tc>
      </w:tr>
    </w:tbl>
    <w:p>
      <w:pPr>
        <w:pStyle w:val="10"/>
        <w:tabs>
          <w:tab w:val="left" w:pos="0"/>
        </w:tabs>
        <w:spacing w:before="156" w:beforeLines="50" w:after="156" w:afterLines="50"/>
        <w:ind w:left="0" w:leftChars="0"/>
        <w:rPr>
          <w:rFonts w:ascii="仿宋" w:hAnsi="仿宋" w:eastAsia="仿宋" w:cs="宋体"/>
          <w:bCs/>
          <w:sz w:val="24"/>
          <w:szCs w:val="24"/>
        </w:rPr>
      </w:pPr>
      <w:r>
        <w:rPr>
          <w:rFonts w:hint="eastAsia" w:ascii="仿宋" w:hAnsi="仿宋" w:eastAsia="仿宋" w:cs="宋体"/>
          <w:bCs/>
          <w:sz w:val="24"/>
          <w:szCs w:val="24"/>
        </w:rPr>
        <w:t>（2）鼓粉一体</w:t>
      </w:r>
    </w:p>
    <w:tbl>
      <w:tblPr>
        <w:tblStyle w:val="13"/>
        <w:tblW w:w="8517" w:type="dxa"/>
        <w:tblInd w:w="35" w:type="dxa"/>
        <w:tblLayout w:type="fixed"/>
        <w:tblCellMar>
          <w:top w:w="0" w:type="dxa"/>
          <w:left w:w="0" w:type="dxa"/>
          <w:bottom w:w="0" w:type="dxa"/>
          <w:right w:w="0" w:type="dxa"/>
        </w:tblCellMar>
      </w:tblPr>
      <w:tblGrid>
        <w:gridCol w:w="883"/>
        <w:gridCol w:w="2034"/>
        <w:gridCol w:w="2050"/>
        <w:gridCol w:w="3550"/>
      </w:tblGrid>
      <w:tr>
        <w:tblPrEx>
          <w:tblCellMar>
            <w:top w:w="0" w:type="dxa"/>
            <w:left w:w="0" w:type="dxa"/>
            <w:bottom w:w="0" w:type="dxa"/>
            <w:right w:w="0"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包号</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复印机型号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复印机价格</w:t>
            </w:r>
          </w:p>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（单位：元）</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硒鼓（含碳粉）单价（单位：元），</w:t>
            </w:r>
          </w:p>
          <w:p>
            <w:pPr>
              <w:jc w:val="center"/>
              <w:rPr>
                <w:rFonts w:ascii="仿宋" w:hAnsi="仿宋" w:eastAsia="仿宋" w:cs="仿宋"/>
                <w:bCs/>
                <w:color w:val="000000"/>
                <w:sz w:val="24"/>
                <w:szCs w:val="24"/>
              </w:rPr>
            </w:pPr>
            <w:r>
              <w:rPr>
                <w:rFonts w:hint="eastAsia" w:ascii="仿宋" w:hAnsi="仿宋" w:eastAsia="仿宋" w:cs="仿宋"/>
                <w:bCs/>
                <w:color w:val="000000"/>
                <w:sz w:val="24"/>
                <w:szCs w:val="24"/>
              </w:rPr>
              <w:t>打印量（单位：页）</w:t>
            </w:r>
          </w:p>
        </w:tc>
      </w:tr>
      <w:tr>
        <w:tblPrEx>
          <w:tblCellMar>
            <w:top w:w="0" w:type="dxa"/>
            <w:left w:w="0" w:type="dxa"/>
            <w:bottom w:w="0" w:type="dxa"/>
            <w:right w:w="0"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1</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4"/>
                <w:szCs w:val="24"/>
              </w:rPr>
            </w:pPr>
          </w:p>
        </w:tc>
      </w:tr>
      <w:tr>
        <w:tblPrEx>
          <w:tblCellMar>
            <w:top w:w="0" w:type="dxa"/>
            <w:left w:w="0" w:type="dxa"/>
            <w:bottom w:w="0" w:type="dxa"/>
            <w:right w:w="0" w:type="dxa"/>
          </w:tblCellMar>
        </w:tblPrEx>
        <w:trPr>
          <w:trHeight w:val="270"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270" w:hRule="atLeast"/>
        </w:trPr>
        <w:tc>
          <w:tcPr>
            <w:tcW w:w="8517"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szCs w:val="24"/>
              </w:rPr>
            </w:pPr>
            <w:r>
              <w:rPr>
                <w:rFonts w:hint="eastAsia" w:ascii="仿宋" w:hAnsi="仿宋" w:eastAsia="仿宋" w:cs="仿宋"/>
                <w:color w:val="000000"/>
                <w:sz w:val="24"/>
                <w:szCs w:val="24"/>
              </w:rPr>
              <w:t>......</w:t>
            </w:r>
          </w:p>
        </w:tc>
      </w:tr>
    </w:tbl>
    <w:p>
      <w:pPr>
        <w:pStyle w:val="2"/>
        <w:rPr>
          <w:rFonts w:ascii="仿宋" w:hAnsi="仿宋" w:eastAsia="仿宋" w:cs="宋体"/>
          <w:bCs/>
          <w:sz w:val="24"/>
          <w:szCs w:val="24"/>
        </w:rPr>
      </w:pPr>
    </w:p>
    <w:p>
      <w:pPr>
        <w:pStyle w:val="4"/>
        <w:numPr>
          <w:ilvl w:val="0"/>
          <w:numId w:val="2"/>
        </w:numPr>
        <w:spacing w:before="0" w:after="0" w:line="360" w:lineRule="auto"/>
        <w:ind w:left="616" w:hanging="616"/>
        <w:jc w:val="left"/>
        <w:rPr>
          <w:rFonts w:ascii="仿宋" w:hAnsi="仿宋" w:eastAsia="仿宋"/>
          <w:bCs w:val="0"/>
          <w:sz w:val="28"/>
          <w:szCs w:val="28"/>
          <w:lang w:val="zh-CN"/>
        </w:rPr>
      </w:pPr>
      <w:r>
        <w:rPr>
          <w:rFonts w:hint="eastAsia" w:ascii="仿宋" w:hAnsi="仿宋" w:eastAsia="仿宋"/>
          <w:bCs w:val="0"/>
          <w:sz w:val="28"/>
          <w:szCs w:val="28"/>
          <w:lang w:val="zh-CN"/>
        </w:rPr>
        <w:t>服务标准</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保证本次框架协议产品入围价、官方指导价是真实的，可考量的，接受征集人的监督、检查。</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保证所提供的货物是全新、未使用过的原装合格正品,并且符合国家有关质量技术标准及相关法律、法规规定的要求。</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保证</w:t>
      </w:r>
      <w:r>
        <w:rPr>
          <w:rFonts w:hint="eastAsia" w:ascii="仿宋" w:hAnsi="仿宋" w:eastAsia="仿宋" w:cs="宋体"/>
          <w:bCs/>
          <w:sz w:val="24"/>
          <w:szCs w:val="24"/>
          <w:lang w:eastAsia="zh-CN"/>
        </w:rPr>
        <w:t>鄂州市</w:t>
      </w:r>
      <w:r>
        <w:rPr>
          <w:rFonts w:hint="eastAsia" w:ascii="仿宋" w:hAnsi="仿宋" w:eastAsia="仿宋" w:cs="宋体"/>
          <w:bCs/>
          <w:sz w:val="24"/>
          <w:szCs w:val="24"/>
        </w:rPr>
        <w:t>各级采购人优先享受各项服务。</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针对本项目成立服务小组，指派专人负责日常管理及联络工作。</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建立采购人对产品代理商投诉及处理台帐，记录投诉内容及协调处理方法，有效督促产品代理商严格履约。</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服从征集人管理要求，通过</w:t>
      </w:r>
      <w:r>
        <w:rPr>
          <w:rFonts w:hint="eastAsia" w:ascii="仿宋" w:hAnsi="仿宋" w:eastAsia="仿宋" w:cs="宋体"/>
          <w:bCs/>
          <w:sz w:val="24"/>
          <w:szCs w:val="24"/>
          <w:lang w:eastAsia="zh-CN"/>
        </w:rPr>
        <w:t>鄂州市</w:t>
      </w:r>
      <w:r>
        <w:rPr>
          <w:rFonts w:hint="eastAsia" w:ascii="仿宋" w:hAnsi="仿宋" w:eastAsia="仿宋" w:cs="宋体"/>
          <w:bCs/>
          <w:sz w:val="24"/>
          <w:szCs w:val="24"/>
        </w:rPr>
        <w:t>政府采购电子商城执行本次框架协议采购合同</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协助有关部门做好廉政工作，防止腐败现象的出现。</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投标供应商提供的其他服务承诺（如维修保养等）。</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入围供应商应按照框架协议管理相关规定，主动配合征集人和各级财政部门的管理，按照相关的要求实施框架协议采购，并应做好入围产品的信息维护、代理商履约管理等工作。</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交货时间地点：授予合同之日起30日内或者根据合同约定时间和地点交货并完成安装调试。</w:t>
      </w:r>
    </w:p>
    <w:p>
      <w:pPr>
        <w:numPr>
          <w:ilvl w:val="0"/>
          <w:numId w:val="4"/>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验收：采购人组织产品验收，符合征集文件和响应文件要求和承诺书承诺方可验收。</w:t>
      </w:r>
    </w:p>
    <w:p>
      <w:pPr>
        <w:pStyle w:val="4"/>
        <w:numPr>
          <w:ilvl w:val="0"/>
          <w:numId w:val="2"/>
        </w:numPr>
        <w:spacing w:before="0" w:after="0" w:line="360" w:lineRule="auto"/>
        <w:ind w:left="616" w:hanging="616"/>
        <w:jc w:val="left"/>
        <w:rPr>
          <w:rFonts w:ascii="仿宋" w:hAnsi="仿宋" w:eastAsia="仿宋"/>
          <w:bCs w:val="0"/>
          <w:sz w:val="28"/>
          <w:szCs w:val="28"/>
          <w:lang w:val="zh-CN"/>
        </w:rPr>
      </w:pPr>
      <w:r>
        <w:rPr>
          <w:rFonts w:hint="eastAsia" w:ascii="仿宋" w:hAnsi="仿宋" w:eastAsia="仿宋"/>
          <w:bCs w:val="0"/>
          <w:sz w:val="28"/>
          <w:szCs w:val="28"/>
          <w:lang w:val="zh-CN"/>
        </w:rPr>
        <w:t>商务要求</w:t>
      </w:r>
    </w:p>
    <w:p>
      <w:pPr>
        <w:spacing w:line="360" w:lineRule="auto"/>
        <w:ind w:firstLine="480" w:firstLineChars="200"/>
        <w:rPr>
          <w:rFonts w:ascii="仿宋" w:hAnsi="仿宋" w:eastAsia="仿宋" w:cs="仿宋"/>
          <w:sz w:val="24"/>
          <w:szCs w:val="24"/>
        </w:rPr>
      </w:pPr>
      <w:r>
        <w:rPr>
          <w:rFonts w:hint="eastAsia" w:ascii="仿宋" w:hAnsi="仿宋" w:eastAsia="仿宋" w:cs="宋体"/>
          <w:bCs/>
          <w:sz w:val="24"/>
          <w:szCs w:val="24"/>
        </w:rPr>
        <w:t>1、价格确定：（1）</w:t>
      </w:r>
      <w:r>
        <w:rPr>
          <w:rFonts w:hint="eastAsia" w:ascii="仿宋" w:hAnsi="仿宋" w:eastAsia="仿宋" w:cs="仿宋"/>
          <w:sz w:val="24"/>
          <w:szCs w:val="24"/>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投标供应商应按照技术参数响应表要求填报有关信息，在技术响应偏离表及商务响应偏离表填报。</w:t>
      </w:r>
    </w:p>
    <w:p>
      <w:pPr>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2、代理商要求：（1）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3）入围供应商及其推荐的协议供货代理商对本项目承担连带责任，协议供货代理商必须履行入围供应商参加征集时的要求其服务商服务承诺。</w:t>
      </w:r>
    </w:p>
    <w:p>
      <w:pPr>
        <w:spacing w:line="360" w:lineRule="auto"/>
        <w:ind w:firstLine="482" w:firstLineChars="200"/>
        <w:rPr>
          <w:rFonts w:ascii="仿宋" w:hAnsi="仿宋" w:eastAsia="仿宋" w:cs="宋体"/>
          <w:b/>
          <w:sz w:val="24"/>
          <w:szCs w:val="24"/>
        </w:rPr>
      </w:pPr>
      <w:r>
        <w:rPr>
          <w:rFonts w:hint="eastAsia" w:ascii="仿宋" w:hAnsi="仿宋" w:eastAsia="仿宋" w:cs="宋体"/>
          <w:b/>
          <w:sz w:val="24"/>
          <w:szCs w:val="24"/>
        </w:rPr>
        <w:t>3、售后服务</w:t>
      </w:r>
    </w:p>
    <w:p>
      <w:pPr>
        <w:spacing w:line="360" w:lineRule="auto"/>
        <w:ind w:firstLine="482" w:firstLineChars="200"/>
        <w:rPr>
          <w:rFonts w:ascii="仿宋" w:hAnsi="仿宋" w:eastAsia="仿宋" w:cs="宋体"/>
          <w:b/>
          <w:sz w:val="24"/>
          <w:szCs w:val="24"/>
        </w:rPr>
      </w:pPr>
      <w:r>
        <w:rPr>
          <w:rFonts w:hint="eastAsia" w:ascii="仿宋" w:hAnsi="仿宋" w:eastAsia="仿宋" w:cs="宋体"/>
          <w:b/>
          <w:sz w:val="24"/>
          <w:szCs w:val="24"/>
        </w:rPr>
        <w:t>（1）售后服务标准必须与该产品出厂市场标准服务一致,同时还应包括:</w:t>
      </w:r>
      <w:r>
        <w:rPr>
          <w:rFonts w:hint="eastAsia" w:ascii="仿宋" w:hAnsi="仿宋" w:eastAsia="仿宋" w:cs="宋体"/>
          <w:b/>
          <w:sz w:val="24"/>
          <w:szCs w:val="24"/>
          <w:lang w:val="en-US" w:eastAsia="zh-CN"/>
        </w:rPr>
        <w:t>7</w:t>
      </w:r>
      <w:r>
        <w:rPr>
          <w:rFonts w:hint="eastAsia" w:ascii="仿宋" w:hAnsi="仿宋" w:eastAsia="仿宋" w:cs="宋体"/>
          <w:b/>
          <w:sz w:val="24"/>
          <w:szCs w:val="24"/>
        </w:rPr>
        <w:t>*</w:t>
      </w:r>
      <w:r>
        <w:rPr>
          <w:rFonts w:hint="eastAsia" w:ascii="仿宋" w:hAnsi="仿宋" w:eastAsia="仿宋" w:cs="宋体"/>
          <w:b/>
          <w:sz w:val="24"/>
          <w:szCs w:val="24"/>
          <w:lang w:val="en-US" w:eastAsia="zh-CN"/>
        </w:rPr>
        <w:t>24</w:t>
      </w:r>
      <w:r>
        <w:rPr>
          <w:rFonts w:hint="eastAsia" w:ascii="仿宋" w:hAnsi="仿宋" w:eastAsia="仿宋" w:cs="宋体"/>
          <w:b/>
          <w:sz w:val="24"/>
          <w:szCs w:val="24"/>
        </w:rPr>
        <w:t>小时技术支持服务；2小时电话响应，第二个工作日现场服务；故障报修后两个工作日解决问题。</w:t>
      </w:r>
    </w:p>
    <w:p>
      <w:pPr>
        <w:spacing w:line="440" w:lineRule="exact"/>
        <w:ind w:firstLine="480" w:firstLineChars="200"/>
        <w:rPr>
          <w:rFonts w:ascii="仿宋" w:hAnsi="仿宋" w:eastAsia="仿宋" w:cs="仿宋"/>
          <w:sz w:val="24"/>
          <w:lang w:val="zh-CN"/>
        </w:rPr>
      </w:pPr>
      <w:r>
        <w:rPr>
          <w:rFonts w:hint="eastAsia" w:ascii="仿宋" w:hAnsi="仿宋" w:eastAsia="仿宋" w:cs="仿宋"/>
          <w:sz w:val="24"/>
          <w:lang w:val="zh-CN"/>
        </w:rPr>
        <w:t>（</w:t>
      </w:r>
      <w:r>
        <w:rPr>
          <w:rFonts w:hint="eastAsia" w:ascii="仿宋" w:hAnsi="仿宋" w:eastAsia="仿宋" w:cs="仿宋"/>
          <w:sz w:val="24"/>
        </w:rPr>
        <w:t>2</w:t>
      </w:r>
      <w:r>
        <w:rPr>
          <w:rFonts w:hint="eastAsia" w:ascii="仿宋" w:hAnsi="仿宋" w:eastAsia="仿宋" w:cs="仿宋"/>
          <w:sz w:val="24"/>
          <w:lang w:val="zh-CN"/>
        </w:rPr>
        <w:t>）乙方有完善的服务体系，有能力提供持续的、本地化售后服务。</w:t>
      </w:r>
    </w:p>
    <w:p>
      <w:pPr>
        <w:spacing w:line="440" w:lineRule="exact"/>
        <w:ind w:firstLine="480" w:firstLineChars="200"/>
        <w:rPr>
          <w:rFonts w:ascii="仿宋" w:hAnsi="仿宋" w:eastAsia="仿宋" w:cs="仿宋"/>
          <w:sz w:val="24"/>
          <w:lang w:val="zh-CN"/>
        </w:rPr>
      </w:pP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）乙方负责系统安装和调试以及操作人员培训，并制定详细的培训计划，使操作人员能独立进行管理、操作、维护和故障处理等工作，做好相关记录及技术文档收集整理，待验收合格后移交给甲方。</w:t>
      </w:r>
    </w:p>
    <w:p>
      <w:pPr>
        <w:spacing w:line="360" w:lineRule="auto"/>
        <w:ind w:firstLine="480" w:firstLineChars="200"/>
        <w:rPr>
          <w:rFonts w:ascii="仿宋" w:hAnsi="仿宋" w:eastAsia="仿宋" w:cs="宋体"/>
          <w:b/>
          <w:sz w:val="24"/>
          <w:szCs w:val="24"/>
        </w:rPr>
      </w:pPr>
      <w:r>
        <w:rPr>
          <w:rFonts w:hint="eastAsia" w:ascii="仿宋" w:hAnsi="仿宋" w:eastAsia="仿宋" w:cs="仿宋"/>
          <w:sz w:val="24"/>
          <w:lang w:val="zh-CN"/>
        </w:rPr>
        <w:t>（</w:t>
      </w:r>
      <w:r>
        <w:rPr>
          <w:rFonts w:hint="eastAsia" w:ascii="仿宋" w:hAnsi="仿宋" w:eastAsia="仿宋" w:cs="仿宋"/>
          <w:sz w:val="24"/>
        </w:rPr>
        <w:t>4</w:t>
      </w:r>
      <w:r>
        <w:rPr>
          <w:rFonts w:hint="eastAsia" w:ascii="仿宋" w:hAnsi="仿宋" w:eastAsia="仿宋" w:cs="仿宋"/>
          <w:sz w:val="24"/>
          <w:lang w:val="zh-CN"/>
        </w:rPr>
        <w:t>）供货及服务范围：乙方负责货物的供应、运输、安装调试、培训、售后服务。</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4、支付方式：按照采购合同约定的方式支付价款。采购合同对支付方式不明确的，按照有利于实现政府采购合同目的的方式履行。</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支付时间：甲方应该按照采购合同约定的时间支付价款。约定不明确的，甲方可以随时支付，乙方可以随时请求支付，但应该给甲方必要的准备时间以满足财政资金支付条件。</w:t>
      </w:r>
    </w:p>
    <w:p>
      <w:pPr>
        <w:snapToGrid w:val="0"/>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支付条件：按照采购合同约定的支付条件支付价款。采购合同约定不得违反国家有关财政资金支付管理的规定。</w:t>
      </w:r>
    </w:p>
    <w:p>
      <w:pPr>
        <w:snapToGrid w:val="0"/>
        <w:spacing w:line="360" w:lineRule="auto"/>
        <w:ind w:firstLine="420" w:firstLineChars="200"/>
        <w:jc w:val="left"/>
      </w:pPr>
      <w:r>
        <w:br w:type="page"/>
      </w:r>
    </w:p>
    <w:p>
      <w:pPr>
        <w:pStyle w:val="3"/>
        <w:numPr>
          <w:ilvl w:val="0"/>
          <w:numId w:val="1"/>
        </w:numPr>
        <w:spacing w:before="240" w:after="120"/>
        <w:ind w:left="643" w:hanging="643" w:hangingChars="200"/>
        <w:jc w:val="center"/>
        <w:rPr>
          <w:rFonts w:ascii="仿宋" w:hAnsi="仿宋" w:eastAsia="仿宋" w:cs="仿宋"/>
          <w:sz w:val="32"/>
          <w:szCs w:val="32"/>
        </w:rPr>
      </w:pPr>
      <w:r>
        <w:rPr>
          <w:rFonts w:hint="eastAsia" w:ascii="仿宋" w:hAnsi="仿宋" w:eastAsia="仿宋" w:cs="仿宋"/>
          <w:sz w:val="32"/>
          <w:szCs w:val="32"/>
        </w:rPr>
        <w:t>确定入围及成交供应商</w:t>
      </w:r>
    </w:p>
    <w:p>
      <w:pPr>
        <w:spacing w:line="440" w:lineRule="exact"/>
        <w:ind w:firstLine="482" w:firstLineChars="200"/>
        <w:rPr>
          <w:rFonts w:ascii="仿宋" w:hAnsi="仿宋" w:eastAsia="仿宋" w:cs="仿宋"/>
          <w:b/>
          <w:sz w:val="24"/>
          <w:szCs w:val="24"/>
        </w:rPr>
      </w:pPr>
      <w:r>
        <w:rPr>
          <w:rFonts w:ascii="仿宋" w:hAnsi="仿宋" w:eastAsia="仿宋" w:cs="仿宋"/>
          <w:b/>
          <w:sz w:val="24"/>
          <w:szCs w:val="24"/>
        </w:rPr>
        <w:t>一、确定第一阶段入围供应商的评审方法</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1、确定第一阶段入围供应商的评审方法为价格优先法。价格优先法是指对满足采购需求且</w:t>
      </w:r>
      <w:r>
        <w:rPr>
          <w:rFonts w:hint="eastAsia" w:ascii="仿宋" w:hAnsi="仿宋" w:eastAsia="仿宋" w:cs="仿宋"/>
          <w:bCs/>
          <w:sz w:val="24"/>
          <w:szCs w:val="24"/>
        </w:rPr>
        <w:t>投标</w:t>
      </w:r>
      <w:r>
        <w:rPr>
          <w:rFonts w:ascii="仿宋" w:hAnsi="仿宋" w:eastAsia="仿宋" w:cs="仿宋"/>
          <w:bCs/>
          <w:sz w:val="24"/>
          <w:szCs w:val="24"/>
        </w:rPr>
        <w:t>报价不超过最高限制单价的产品，按照</w:t>
      </w:r>
      <w:r>
        <w:rPr>
          <w:rFonts w:hint="eastAsia" w:ascii="仿宋" w:hAnsi="仿宋" w:eastAsia="仿宋" w:cs="仿宋"/>
          <w:bCs/>
          <w:sz w:val="24"/>
          <w:szCs w:val="24"/>
        </w:rPr>
        <w:t>投标</w:t>
      </w:r>
      <w:r>
        <w:rPr>
          <w:rFonts w:ascii="仿宋" w:hAnsi="仿宋" w:eastAsia="仿宋" w:cs="仿宋"/>
          <w:bCs/>
          <w:sz w:val="24"/>
          <w:szCs w:val="24"/>
        </w:rPr>
        <w:t>报价从低到高排序，根据征集文件规定的淘汰率或者入围供应商数量上限，确定入围供应商的评审方法。</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2、入围供应商的淘汰比例：20%，且至少淘汰一家供应商（提交响应文件和符合资格条件、实质性要求的供应商少于2家时，采购活动终止）。</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（1）</w:t>
      </w:r>
      <w:r>
        <w:rPr>
          <w:rFonts w:ascii="仿宋" w:hAnsi="仿宋" w:eastAsia="仿宋" w:cs="仿宋"/>
          <w:bCs/>
          <w:sz w:val="24"/>
          <w:szCs w:val="24"/>
        </w:rPr>
        <w:t>若计算的淘汰数非整数，则按照向上取整原则进行处理。即，淘汰数量=向上取整[供应商数量×20%]（示例：如有11家供应商投标</w:t>
      </w:r>
      <w:r>
        <w:rPr>
          <w:rFonts w:hint="eastAsia" w:ascii="仿宋" w:hAnsi="仿宋" w:eastAsia="仿宋" w:cs="仿宋"/>
          <w:bCs/>
          <w:sz w:val="24"/>
          <w:szCs w:val="24"/>
        </w:rPr>
        <w:t>，淘汰数量=向上取整</w:t>
      </w:r>
      <w:r>
        <w:rPr>
          <w:rFonts w:ascii="仿宋" w:hAnsi="仿宋" w:eastAsia="仿宋" w:cs="仿宋"/>
          <w:bCs/>
          <w:sz w:val="24"/>
          <w:szCs w:val="24"/>
        </w:rPr>
        <w:t>[</w:t>
      </w:r>
      <w:r>
        <w:rPr>
          <w:rFonts w:hint="eastAsia" w:ascii="仿宋" w:hAnsi="仿宋" w:eastAsia="仿宋" w:cs="仿宋"/>
          <w:bCs/>
          <w:sz w:val="24"/>
          <w:szCs w:val="24"/>
        </w:rPr>
        <w:t>11</w:t>
      </w:r>
      <w:r>
        <w:rPr>
          <w:rFonts w:ascii="仿宋" w:hAnsi="仿宋" w:eastAsia="仿宋" w:cs="仿宋"/>
          <w:bCs/>
          <w:sz w:val="24"/>
          <w:szCs w:val="24"/>
        </w:rPr>
        <w:t>×20%]=向上取整[</w:t>
      </w:r>
      <w:r>
        <w:rPr>
          <w:rFonts w:hint="eastAsia" w:ascii="仿宋" w:hAnsi="仿宋" w:eastAsia="仿宋" w:cs="仿宋"/>
          <w:bCs/>
          <w:sz w:val="24"/>
          <w:szCs w:val="24"/>
        </w:rPr>
        <w:t>2.2</w:t>
      </w: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,最终实际淘汰3家供应商）</w:t>
      </w:r>
      <w:r>
        <w:rPr>
          <w:rFonts w:hint="eastAsia" w:ascii="仿宋" w:hAnsi="仿宋" w:eastAsia="仿宋" w:cs="仿宋"/>
          <w:bCs/>
          <w:sz w:val="24"/>
          <w:szCs w:val="24"/>
        </w:rPr>
        <w:t>；</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w:t>
      </w:r>
      <w:r>
        <w:rPr>
          <w:rFonts w:hint="eastAsia" w:ascii="仿宋" w:hAnsi="仿宋" w:eastAsia="仿宋" w:cs="仿宋"/>
          <w:bCs/>
          <w:sz w:val="24"/>
          <w:szCs w:val="24"/>
        </w:rPr>
        <w:t>若按淘汰率得出的淘汰名次存在并列排序，</w:t>
      </w:r>
      <w:r>
        <w:rPr>
          <w:rFonts w:hint="eastAsia" w:ascii="仿宋" w:hAnsi="仿宋" w:eastAsia="仿宋" w:cs="仿宋"/>
          <w:bCs/>
          <w:sz w:val="24"/>
          <w:szCs w:val="24"/>
          <w:lang w:val="en-US" w:eastAsia="zh-CN"/>
        </w:rPr>
        <w:t>比较供应商提供的证明材料上的技术参数，依次按照复印速度、硬盘容量、内存容量的顺序确定淘汰供应商。</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政府采购政策功能落实</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1、小微型企业价格扣除</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（1）本项目对小型和微型企业产品给予1</w:t>
      </w:r>
      <w:r>
        <w:rPr>
          <w:rFonts w:hint="eastAsia" w:ascii="仿宋" w:hAnsi="仿宋" w:eastAsia="仿宋" w:cs="仿宋"/>
          <w:bCs/>
          <w:sz w:val="24"/>
          <w:szCs w:val="24"/>
          <w:lang w:val="en-US" w:eastAsia="zh-CN"/>
        </w:rPr>
        <w:t>0</w:t>
      </w:r>
      <w:r>
        <w:rPr>
          <w:rFonts w:hint="eastAsia" w:ascii="仿宋" w:hAnsi="仿宋" w:eastAsia="仿宋" w:cs="仿宋"/>
          <w:bCs/>
          <w:sz w:val="24"/>
          <w:szCs w:val="24"/>
        </w:rPr>
        <w:t>%的扣除价格，用扣除后的价格参与排序。</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（2）供应商需按照征集文件的要求提供相应的《中小企业声明函》。</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2、残疾人福利单位价格扣除</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（1）本项目对残疾人福利性单位视同小型、微型企业，给予1</w:t>
      </w:r>
      <w:r>
        <w:rPr>
          <w:rFonts w:hint="eastAsia" w:ascii="仿宋" w:hAnsi="仿宋" w:eastAsia="仿宋" w:cs="仿宋"/>
          <w:bCs/>
          <w:sz w:val="24"/>
          <w:szCs w:val="24"/>
          <w:lang w:val="en-US" w:eastAsia="zh-CN"/>
        </w:rPr>
        <w:t>0</w:t>
      </w:r>
      <w:r>
        <w:rPr>
          <w:rFonts w:hint="eastAsia"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（2）残疾人福利单位需按照征集文件的要求提供《残疾人福利性单位声明函》。</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（3）残疾人福利单位标准请参照《关于促进残疾人就业政府采购政策的通知》（财库〔2017〕141号）。</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3、监狱和戒毒企业价格扣除</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（1）本项目对监狱和戒毒企业（简称监狱企业）视同小型、微型企业，给予10%的价格扣除，用扣除后的价格参与排序。</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（3）监狱企业标准请参照《关于政府采购支持监狱企业发展有关问题的通知》（财库[2014]68号）。</w:t>
      </w:r>
    </w:p>
    <w:p>
      <w:pPr>
        <w:spacing w:line="440" w:lineRule="exact"/>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hint="eastAsia" w:ascii="仿宋" w:hAnsi="仿宋" w:eastAsia="仿宋" w:cs="仿宋"/>
          <w:bCs/>
          <w:sz w:val="24"/>
          <w:szCs w:val="24"/>
        </w:rPr>
        <w:t>。</w:t>
      </w:r>
    </w:p>
    <w:p>
      <w:pPr>
        <w:spacing w:line="440" w:lineRule="exact"/>
        <w:ind w:firstLine="482" w:firstLineChars="200"/>
        <w:rPr>
          <w:rFonts w:ascii="仿宋" w:hAnsi="仿宋" w:eastAsia="仿宋" w:cs="仿宋"/>
          <w:b/>
          <w:sz w:val="24"/>
          <w:szCs w:val="24"/>
        </w:rPr>
      </w:pPr>
      <w:r>
        <w:rPr>
          <w:rFonts w:hint="eastAsia" w:ascii="仿宋" w:hAnsi="仿宋" w:eastAsia="仿宋" w:cs="仿宋"/>
          <w:b/>
          <w:sz w:val="24"/>
          <w:szCs w:val="24"/>
        </w:rPr>
        <w:t>二、确定第二阶段成交供应商的方式</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1.确定第二阶段成交供应商的方式为直接选定或二次竞价。</w:t>
      </w:r>
      <w:r>
        <w:rPr>
          <w:rFonts w:hint="eastAsia" w:ascii="仿宋" w:hAnsi="仿宋" w:eastAsia="仿宋" w:cs="仿宋"/>
          <w:bCs/>
          <w:sz w:val="24"/>
          <w:szCs w:val="24"/>
          <w:lang w:val="en-US" w:eastAsia="zh-CN"/>
        </w:rPr>
        <w:t>直接选定由采购人或者服务对象依据入围产品价格、质量以及服务便利性、用户评价等因素，从第一阶段入围供应商中直接选定。二次竞价</w:t>
      </w:r>
      <w:r>
        <w:rPr>
          <w:rFonts w:hint="eastAsia" w:ascii="仿宋" w:hAnsi="仿宋" w:eastAsia="仿宋" w:cs="仿宋"/>
          <w:bCs/>
          <w:sz w:val="24"/>
          <w:szCs w:val="24"/>
          <w:lang w:val="zh-CN" w:eastAsia="zh-CN"/>
        </w:rPr>
        <w:t>以框架协议约定的入围产品、采购合同文本等为依据，以协议价格为最高限价，采购人明确第二阶段竞价需求，从入围供应商中选择所有符合竞价需求的供应商参与二次竞价，确定报价最低的为成交供应商</w:t>
      </w:r>
      <w:r>
        <w:rPr>
          <w:rFonts w:hint="default" w:ascii="仿宋" w:hAnsi="仿宋" w:eastAsia="仿宋" w:cs="仿宋"/>
          <w:bCs/>
          <w:sz w:val="24"/>
          <w:szCs w:val="24"/>
          <w:lang w:val="en-US" w:eastAsia="zh-CN"/>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2.采购人在确定成交供应商后，双方应当按照框架协议中规定的“采购合同文本”格式签订电子采购合同，不得擅自改变框架协议约定的合同实质性条款。</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hint="eastAsia" w:ascii="宋体" w:hAnsi="宋体"/>
      </w:rPr>
      <w:fldChar w:fldCharType="begin"/>
    </w:r>
    <w:r>
      <w:rPr>
        <w:rStyle w:val="16"/>
        <w:rFonts w:hint="eastAsia" w:ascii="宋体" w:hAnsi="宋体"/>
      </w:rPr>
      <w:instrText xml:space="preserve"> PAGE </w:instrText>
    </w:r>
    <w:r>
      <w:rPr>
        <w:rFonts w:hint="eastAsia" w:ascii="宋体" w:hAnsi="宋体"/>
      </w:rPr>
      <w:fldChar w:fldCharType="separate"/>
    </w:r>
    <w:r>
      <w:rPr>
        <w:rStyle w:val="16"/>
        <w:rFonts w:ascii="宋体" w:hAnsi="宋体"/>
      </w:rPr>
      <w:t>2</w:t>
    </w:r>
    <w:r>
      <w:rPr>
        <w:rFonts w:hint="eastAsia"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69AE0EF"/>
    <w:multiLevelType w:val="singleLevel"/>
    <w:tmpl w:val="469AE0EF"/>
    <w:lvl w:ilvl="0" w:tentative="0">
      <w:start w:val="1"/>
      <w:numFmt w:val="decimal"/>
      <w:suff w:val="nothing"/>
      <w:lvlText w:val="%1、"/>
      <w:lvlJc w:val="left"/>
    </w:lvl>
  </w:abstractNum>
  <w:abstractNum w:abstractNumId="2">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CCC16D0"/>
    <w:multiLevelType w:val="singleLevel"/>
    <w:tmpl w:val="6CCC16D0"/>
    <w:lvl w:ilvl="0" w:tentative="0">
      <w:start w:val="1"/>
      <w:numFmt w:val="decimal"/>
      <w:lvlText w:val="%1."/>
      <w:lvlJc w:val="left"/>
      <w:pPr>
        <w:ind w:left="425" w:hanging="425"/>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0022E9E"/>
    <w:rsid w:val="0005384C"/>
    <w:rsid w:val="00203174"/>
    <w:rsid w:val="00596269"/>
    <w:rsid w:val="0069546F"/>
    <w:rsid w:val="006F280D"/>
    <w:rsid w:val="00935E0C"/>
    <w:rsid w:val="00BF7761"/>
    <w:rsid w:val="00D67EB0"/>
    <w:rsid w:val="025A22F0"/>
    <w:rsid w:val="076E0F06"/>
    <w:rsid w:val="086428D6"/>
    <w:rsid w:val="0ED76F14"/>
    <w:rsid w:val="11375B2B"/>
    <w:rsid w:val="16A4003A"/>
    <w:rsid w:val="18D51F60"/>
    <w:rsid w:val="1D13406F"/>
    <w:rsid w:val="1DAF56FC"/>
    <w:rsid w:val="1FF932F3"/>
    <w:rsid w:val="206369CD"/>
    <w:rsid w:val="21705AA3"/>
    <w:rsid w:val="21B66C24"/>
    <w:rsid w:val="225813C2"/>
    <w:rsid w:val="27633D5B"/>
    <w:rsid w:val="29364F85"/>
    <w:rsid w:val="2F5350F6"/>
    <w:rsid w:val="35217BC8"/>
    <w:rsid w:val="3536154B"/>
    <w:rsid w:val="3C4217F1"/>
    <w:rsid w:val="3DC068B5"/>
    <w:rsid w:val="3E1D12BD"/>
    <w:rsid w:val="3FA56C71"/>
    <w:rsid w:val="445A5713"/>
    <w:rsid w:val="4488274F"/>
    <w:rsid w:val="47D13B7C"/>
    <w:rsid w:val="4816707C"/>
    <w:rsid w:val="49C25094"/>
    <w:rsid w:val="4F2229DD"/>
    <w:rsid w:val="50395648"/>
    <w:rsid w:val="51CB6DB2"/>
    <w:rsid w:val="51E62581"/>
    <w:rsid w:val="51EB4853"/>
    <w:rsid w:val="520D68DA"/>
    <w:rsid w:val="57A24CAE"/>
    <w:rsid w:val="59467CE3"/>
    <w:rsid w:val="5AA51139"/>
    <w:rsid w:val="5CF074A4"/>
    <w:rsid w:val="5D957A85"/>
    <w:rsid w:val="5D9D7DB7"/>
    <w:rsid w:val="60C76000"/>
    <w:rsid w:val="61415CFC"/>
    <w:rsid w:val="631216A8"/>
    <w:rsid w:val="634B15C5"/>
    <w:rsid w:val="6462489F"/>
    <w:rsid w:val="64C17FB6"/>
    <w:rsid w:val="665870F3"/>
    <w:rsid w:val="66B23970"/>
    <w:rsid w:val="677B69FA"/>
    <w:rsid w:val="6BFF53AB"/>
    <w:rsid w:val="6D155F43"/>
    <w:rsid w:val="6D3140E4"/>
    <w:rsid w:val="6D743545"/>
    <w:rsid w:val="6FE97C33"/>
    <w:rsid w:val="70076BD9"/>
    <w:rsid w:val="707B39F8"/>
    <w:rsid w:val="714563E3"/>
    <w:rsid w:val="75B4180D"/>
    <w:rsid w:val="78882305"/>
    <w:rsid w:val="7E9BAC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5">
    <w:name w:val="annotation text"/>
    <w:basedOn w:val="1"/>
    <w:link w:val="20"/>
    <w:qFormat/>
    <w:uiPriority w:val="0"/>
    <w:pPr>
      <w:jc w:val="left"/>
    </w:pPr>
  </w:style>
  <w:style w:type="paragraph" w:styleId="6">
    <w:name w:val="Body Text Indent"/>
    <w:basedOn w:val="1"/>
    <w:semiHidden/>
    <w:unhideWhenUsed/>
    <w:qFormat/>
    <w:uiPriority w:val="99"/>
    <w:pPr>
      <w:spacing w:after="120"/>
      <w:ind w:left="420" w:leftChars="200"/>
    </w:p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39"/>
    <w:pPr>
      <w:ind w:left="420" w:leftChars="200"/>
    </w:pPr>
  </w:style>
  <w:style w:type="paragraph" w:styleId="11">
    <w:name w:val="annotation subject"/>
    <w:basedOn w:val="5"/>
    <w:next w:val="5"/>
    <w:link w:val="21"/>
    <w:qFormat/>
    <w:uiPriority w:val="0"/>
    <w:rPr>
      <w:b/>
      <w:bCs/>
    </w:rPr>
  </w:style>
  <w:style w:type="paragraph" w:styleId="12">
    <w:name w:val="Body Text First Indent 2"/>
    <w:basedOn w:val="6"/>
    <w:semiHidden/>
    <w:unhideWhenUsed/>
    <w:qFormat/>
    <w:uiPriority w:val="99"/>
    <w:pPr>
      <w:ind w:firstLine="420" w:firstLineChars="200"/>
    </w:p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unhideWhenUsed/>
    <w:qFormat/>
    <w:uiPriority w:val="0"/>
    <w:rPr>
      <w:rFonts w:cs="Times New Roman"/>
    </w:rPr>
  </w:style>
  <w:style w:type="character" w:styleId="17">
    <w:name w:val="annotation reference"/>
    <w:basedOn w:val="15"/>
    <w:qFormat/>
    <w:uiPriority w:val="0"/>
    <w:rPr>
      <w:sz w:val="21"/>
      <w:szCs w:val="21"/>
    </w:rPr>
  </w:style>
  <w:style w:type="paragraph" w:styleId="18">
    <w:name w:val="List Paragraph"/>
    <w:basedOn w:val="1"/>
    <w:qFormat/>
    <w:uiPriority w:val="34"/>
    <w:pPr>
      <w:ind w:firstLine="420" w:firstLineChars="200"/>
    </w:pPr>
  </w:style>
  <w:style w:type="character" w:customStyle="1" w:styleId="19">
    <w:name w:val="fontstyle21"/>
    <w:basedOn w:val="15"/>
    <w:qFormat/>
    <w:uiPriority w:val="0"/>
    <w:rPr>
      <w:rFonts w:hint="eastAsia" w:ascii="华文仿宋" w:hAnsi="华文仿宋" w:eastAsia="华文仿宋"/>
      <w:color w:val="000000"/>
      <w:sz w:val="28"/>
      <w:szCs w:val="28"/>
    </w:rPr>
  </w:style>
  <w:style w:type="character" w:customStyle="1" w:styleId="20">
    <w:name w:val="批注文字 Char"/>
    <w:basedOn w:val="15"/>
    <w:link w:val="5"/>
    <w:qFormat/>
    <w:uiPriority w:val="0"/>
    <w:rPr>
      <w:rFonts w:asciiTheme="minorHAnsi" w:hAnsiTheme="minorHAnsi" w:eastAsiaTheme="minorEastAsia" w:cstheme="minorBidi"/>
      <w:kern w:val="2"/>
      <w:sz w:val="21"/>
      <w:szCs w:val="22"/>
    </w:rPr>
  </w:style>
  <w:style w:type="character" w:customStyle="1" w:styleId="21">
    <w:name w:val="批注主题 Char"/>
    <w:basedOn w:val="20"/>
    <w:link w:val="11"/>
    <w:qFormat/>
    <w:uiPriority w:val="0"/>
    <w:rPr>
      <w:rFonts w:asciiTheme="minorHAnsi" w:hAnsiTheme="minorHAnsi" w:eastAsiaTheme="minorEastAsia" w:cstheme="minorBidi"/>
      <w:b/>
      <w:bCs/>
      <w:kern w:val="2"/>
      <w:sz w:val="21"/>
      <w:szCs w:val="22"/>
    </w:rPr>
  </w:style>
  <w:style w:type="character" w:customStyle="1" w:styleId="22">
    <w:name w:val="批注框文本 Char"/>
    <w:basedOn w:val="15"/>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4992</Words>
  <Characters>5543</Characters>
  <Lines>101</Lines>
  <Paragraphs>28</Paragraphs>
  <TotalTime>0</TotalTime>
  <ScaleCrop>false</ScaleCrop>
  <LinksUpToDate>false</LinksUpToDate>
  <CharactersWithSpaces>5549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2022-09-09T11:16:00Z</dcterms:created>
  <dc:creator>NS4</dc:creator>
  <cp:lastModifiedBy>胡靖</cp:lastModifiedBy>
  <cp:lastPrinted>2022-07-21T14:09:00Z</cp:lastPrinted>
  <dcterms:modified xsi:type="dcterms:W3CDTF">2023-12-12T08:53:02Z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EC08E990D03C48DDA82516467571E8E9</vt:lpwstr>
  </property>
</Properties>
</file>