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left" w:pos="1982"/>
        </w:tabs>
        <w:adjustRightInd w:val="0"/>
        <w:snapToGrid w:val="0"/>
        <w:spacing w:line="560" w:lineRule="exact"/>
        <w:ind w:firstLine="0"/>
        <w:jc w:val="center"/>
        <w:rPr>
          <w:rFonts w:ascii="方正小标宋简体" w:hAnsi="方正小标宋简体" w:eastAsia="方正小标宋简体" w:cs="方正小标宋简体"/>
          <w:sz w:val="44"/>
          <w:szCs w:val="44"/>
          <w:lang w:val="en-US" w:eastAsia="zh-CN"/>
        </w:rPr>
      </w:pPr>
      <w:r>
        <w:rPr>
          <w:rFonts w:hint="eastAsia" w:ascii="黑体" w:hAnsi="黑体" w:eastAsia="黑体" w:cs="黑体"/>
          <w:color w:val="auto"/>
          <w:sz w:val="44"/>
          <w:szCs w:val="44"/>
          <w:lang w:val="en-US" w:eastAsia="zh-CN"/>
        </w:rPr>
        <w:t>复印纸封闭式框架协议采购需求</w:t>
      </w:r>
    </w:p>
    <w:p>
      <w:pPr>
        <w:pStyle w:val="3"/>
        <w:numPr>
          <w:ilvl w:val="0"/>
          <w:numId w:val="0"/>
        </w:numPr>
        <w:spacing w:before="240" w:after="120"/>
        <w:ind w:leftChars="-200" w:firstLine="3855" w:firstLineChars="1200"/>
        <w:jc w:val="both"/>
        <w:rPr>
          <w:rFonts w:ascii="仿宋" w:hAnsi="仿宋" w:eastAsia="仿宋"/>
          <w:sz w:val="32"/>
          <w:szCs w:val="32"/>
        </w:rPr>
      </w:pPr>
      <w:r>
        <w:rPr>
          <w:rFonts w:hint="eastAsia" w:ascii="仿宋" w:hAnsi="仿宋" w:eastAsia="仿宋"/>
          <w:sz w:val="32"/>
          <w:szCs w:val="32"/>
          <w:lang w:val="en-US" w:eastAsia="zh-CN"/>
        </w:rPr>
        <w:t>第一章 资格条件</w:t>
      </w:r>
    </w:p>
    <w:p>
      <w:pPr>
        <w:rPr>
          <w:rFonts w:hint="eastAsia" w:ascii="仿宋" w:hAnsi="仿宋" w:eastAsia="仿宋"/>
          <w:sz w:val="32"/>
          <w:szCs w:val="32"/>
          <w:lang w:val="en-US" w:eastAsia="zh-CN"/>
        </w:rPr>
      </w:pP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6.本项目的特定资格要求：响应供应商必须是响应产品的生产厂家或者生产厂家对本项目的唯一授权供应商。</w:t>
      </w:r>
    </w:p>
    <w:p>
      <w:pPr>
        <w:rPr>
          <w:rFonts w:ascii="仿宋" w:hAnsi="仿宋" w:eastAsia="仿宋"/>
          <w:bCs/>
          <w:sz w:val="24"/>
          <w:szCs w:val="24"/>
          <w:highlight w:val="yellow"/>
        </w:rPr>
      </w:pPr>
      <w:r>
        <w:rPr>
          <w:rFonts w:ascii="仿宋" w:hAnsi="仿宋" w:eastAsia="仿宋"/>
          <w:bCs/>
          <w:sz w:val="24"/>
          <w:szCs w:val="24"/>
          <w:highlight w:val="yellow"/>
        </w:rPr>
        <w:br w:type="page"/>
      </w:r>
    </w:p>
    <w:p>
      <w:pPr>
        <w:pStyle w:val="3"/>
        <w:numPr>
          <w:ilvl w:val="0"/>
          <w:numId w:val="0"/>
        </w:numPr>
        <w:spacing w:before="240" w:after="120"/>
        <w:ind w:leftChars="-200"/>
        <w:jc w:val="center"/>
        <w:rPr>
          <w:rFonts w:ascii="仿宋" w:hAnsi="仿宋" w:eastAsia="仿宋"/>
          <w:bCs w:val="0"/>
          <w:sz w:val="28"/>
          <w:szCs w:val="28"/>
          <w:lang w:val="zh-CN"/>
        </w:rPr>
      </w:pPr>
      <w:bookmarkStart w:id="0" w:name="_Toc124771270"/>
      <w:r>
        <w:rPr>
          <w:rFonts w:hint="eastAsia" w:ascii="仿宋" w:hAnsi="仿宋" w:eastAsia="仿宋"/>
          <w:sz w:val="32"/>
          <w:szCs w:val="32"/>
          <w:lang w:val="en-US" w:eastAsia="zh-CN"/>
        </w:rPr>
        <w:t xml:space="preserve">第二章 </w:t>
      </w:r>
      <w:r>
        <w:rPr>
          <w:rFonts w:hint="eastAsia" w:ascii="仿宋" w:hAnsi="仿宋" w:eastAsia="仿宋"/>
          <w:sz w:val="32"/>
          <w:szCs w:val="32"/>
        </w:rPr>
        <w:t>项目服务要求</w:t>
      </w:r>
      <w:bookmarkEnd w:id="0"/>
      <w:bookmarkStart w:id="1" w:name="_Toc48134912"/>
      <w:bookmarkStart w:id="2" w:name="_Toc338065593"/>
      <w:bookmarkStart w:id="3" w:name="_Toc339378679"/>
    </w:p>
    <w:bookmarkEnd w:id="1"/>
    <w:bookmarkEnd w:id="2"/>
    <w:bookmarkEnd w:id="3"/>
    <w:p>
      <w:pPr>
        <w:pStyle w:val="4"/>
        <w:numPr>
          <w:ilvl w:val="0"/>
          <w:numId w:val="1"/>
        </w:numPr>
        <w:spacing w:before="0" w:after="0" w:line="360" w:lineRule="auto"/>
        <w:ind w:left="616" w:hanging="616"/>
        <w:jc w:val="left"/>
        <w:rPr>
          <w:rFonts w:ascii="仿宋" w:hAnsi="仿宋" w:eastAsia="仿宋" w:cs="Times New Roman"/>
          <w:bCs w:val="0"/>
          <w:sz w:val="28"/>
          <w:szCs w:val="28"/>
          <w:lang w:val="zh-CN"/>
        </w:rPr>
      </w:pPr>
      <w:bookmarkStart w:id="4" w:name="_Toc6523"/>
      <w:bookmarkStart w:id="5" w:name="_Toc19256"/>
      <w:bookmarkStart w:id="6" w:name="_Toc494745310"/>
      <w:bookmarkStart w:id="7" w:name="_Toc494665546"/>
      <w:bookmarkStart w:id="8" w:name="_Toc494664993"/>
      <w:bookmarkStart w:id="9" w:name="_Toc494721093"/>
      <w:bookmarkStart w:id="10" w:name="_Toc494702263"/>
      <w:bookmarkStart w:id="11" w:name="_Toc494665943"/>
      <w:r>
        <w:rPr>
          <w:rFonts w:hint="eastAsia" w:ascii="仿宋" w:hAnsi="仿宋" w:eastAsia="仿宋" w:cs="Times New Roman"/>
          <w:bCs w:val="0"/>
          <w:sz w:val="28"/>
          <w:szCs w:val="28"/>
          <w:lang w:val="zh-CN"/>
        </w:rPr>
        <w:t>项目概况</w:t>
      </w:r>
      <w:bookmarkEnd w:id="4"/>
    </w:p>
    <w:p>
      <w:pPr>
        <w:spacing w:line="360" w:lineRule="auto"/>
        <w:ind w:firstLine="480" w:firstLineChars="200"/>
        <w:rPr>
          <w:rFonts w:hint="eastAsia" w:ascii="仿宋" w:hAnsi="仿宋" w:eastAsia="仿宋" w:cs="Times New Roman"/>
          <w:sz w:val="24"/>
          <w:szCs w:val="20"/>
          <w:lang w:eastAsia="zh-CN"/>
        </w:rPr>
      </w:pPr>
      <w:bookmarkStart w:id="12" w:name="_Toc339378680"/>
      <w:bookmarkStart w:id="13" w:name="_Toc338065594"/>
      <w:r>
        <w:rPr>
          <w:rFonts w:hint="eastAsia" w:ascii="仿宋" w:hAnsi="仿宋" w:eastAsia="仿宋" w:cs="Times New Roman"/>
          <w:sz w:val="24"/>
          <w:szCs w:val="20"/>
          <w:lang w:val="zh-CN"/>
        </w:rPr>
        <w:t>为进一步做好框架协议采购工作，根据《政府采购框架协议采购方式管理暂行办法》（财政部令第110号）和《财政部关于做好政府采购框架协议采购工作有关问题的通知》（财库〔2022〕17号）要求，规范集中采购目录内多频次、小额度复印纸项目采购活动，结合项目特点及鄂州市政府采购实际情况，</w:t>
      </w:r>
      <w:r>
        <w:rPr>
          <w:rFonts w:hint="eastAsia" w:ascii="仿宋" w:hAnsi="仿宋" w:eastAsia="仿宋" w:cs="Times New Roman"/>
          <w:sz w:val="24"/>
          <w:szCs w:val="20"/>
        </w:rPr>
        <w:t>组织本次框架协议采购活动</w:t>
      </w:r>
      <w:r>
        <w:rPr>
          <w:rFonts w:hint="eastAsia" w:ascii="仿宋" w:hAnsi="仿宋" w:eastAsia="仿宋" w:cs="Times New Roman"/>
          <w:sz w:val="24"/>
          <w:szCs w:val="20"/>
          <w:lang w:eastAsia="zh-CN"/>
        </w:rPr>
        <w:t>。</w:t>
      </w:r>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1.适用框架协议的采购人：鄂州市各级预算单位。</w:t>
      </w:r>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2</w:t>
      </w:r>
      <w:bookmarkStart w:id="21" w:name="_GoBack"/>
      <w:bookmarkEnd w:id="21"/>
      <w:r>
        <w:rPr>
          <w:rFonts w:hint="eastAsia" w:ascii="仿宋" w:hAnsi="仿宋" w:eastAsia="仿宋" w:cs="仿宋"/>
          <w:bCs/>
          <w:sz w:val="24"/>
          <w:szCs w:val="24"/>
          <w:highlight w:val="none"/>
          <w:lang w:val="en-US" w:eastAsia="zh-CN"/>
        </w:rPr>
        <w:t>.框架协议的期限：2024年1月1日起至2024年12月31日止。</w:t>
      </w:r>
    </w:p>
    <w:p>
      <w:pPr>
        <w:pStyle w:val="4"/>
        <w:numPr>
          <w:ilvl w:val="0"/>
          <w:numId w:val="1"/>
        </w:numPr>
        <w:spacing w:before="0" w:after="0" w:line="360" w:lineRule="auto"/>
        <w:ind w:left="616" w:hanging="616"/>
        <w:jc w:val="left"/>
        <w:rPr>
          <w:rFonts w:ascii="仿宋" w:hAnsi="仿宋" w:eastAsia="仿宋" w:cs="Times New Roman"/>
          <w:bCs w:val="0"/>
          <w:sz w:val="28"/>
          <w:szCs w:val="28"/>
          <w:lang w:val="zh-CN"/>
        </w:rPr>
      </w:pPr>
      <w:bookmarkStart w:id="14" w:name="_Toc48134913"/>
      <w:bookmarkStart w:id="15" w:name="_Toc28975"/>
      <w:r>
        <w:rPr>
          <w:rFonts w:hint="eastAsia" w:ascii="仿宋" w:hAnsi="仿宋" w:eastAsia="仿宋" w:cs="Times New Roman"/>
          <w:bCs w:val="0"/>
          <w:sz w:val="28"/>
          <w:szCs w:val="28"/>
          <w:lang w:val="zh-CN"/>
        </w:rPr>
        <w:t>采购内容</w:t>
      </w:r>
      <w:bookmarkEnd w:id="14"/>
      <w:bookmarkEnd w:id="15"/>
    </w:p>
    <w:p>
      <w:pPr>
        <w:spacing w:line="360" w:lineRule="auto"/>
        <w:rPr>
          <w:rFonts w:ascii="仿宋" w:hAnsi="仿宋" w:eastAsia="仿宋" w:cs="宋体"/>
          <w:bCs/>
          <w:sz w:val="32"/>
          <w:szCs w:val="32"/>
        </w:rPr>
      </w:pPr>
      <w:r>
        <w:rPr>
          <w:rFonts w:hint="eastAsia" w:ascii="仿宋" w:hAnsi="仿宋" w:eastAsia="仿宋" w:cs="宋体"/>
          <w:bCs/>
          <w:sz w:val="32"/>
          <w:szCs w:val="32"/>
        </w:rPr>
        <w:t>本次征集分包如下：</w:t>
      </w:r>
    </w:p>
    <w:tbl>
      <w:tblPr>
        <w:tblStyle w:val="9"/>
        <w:tblW w:w="9180" w:type="dxa"/>
        <w:tblInd w:w="0" w:type="dxa"/>
        <w:tblLayout w:type="fixed"/>
        <w:tblCellMar>
          <w:top w:w="0" w:type="dxa"/>
          <w:left w:w="0" w:type="dxa"/>
          <w:bottom w:w="0" w:type="dxa"/>
          <w:right w:w="0" w:type="dxa"/>
        </w:tblCellMar>
      </w:tblPr>
      <w:tblGrid>
        <w:gridCol w:w="1530"/>
        <w:gridCol w:w="1965"/>
        <w:gridCol w:w="1020"/>
        <w:gridCol w:w="1860"/>
        <w:gridCol w:w="1125"/>
        <w:gridCol w:w="1680"/>
      </w:tblGrid>
      <w:tr>
        <w:tblPrEx>
          <w:tblCellMar>
            <w:top w:w="0" w:type="dxa"/>
            <w:left w:w="0" w:type="dxa"/>
            <w:bottom w:w="0" w:type="dxa"/>
            <w:right w:w="0" w:type="dxa"/>
          </w:tblCellMar>
        </w:tblPrEx>
        <w:trPr>
          <w:trHeight w:val="300" w:hRule="atLeast"/>
        </w:trPr>
        <w:tc>
          <w:tcPr>
            <w:tcW w:w="153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分包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最高限价（元）</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类型</w:t>
            </w:r>
          </w:p>
        </w:tc>
        <w:tc>
          <w:tcPr>
            <w:tcW w:w="186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重量（g/㎡）</w:t>
            </w:r>
          </w:p>
        </w:tc>
        <w:tc>
          <w:tcPr>
            <w:tcW w:w="112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颜色</w:t>
            </w:r>
          </w:p>
        </w:tc>
        <w:tc>
          <w:tcPr>
            <w:tcW w:w="16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规格</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25</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29</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75</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3包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4包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85</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5包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彩色</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6包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A4</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彩色</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7包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A3</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8包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A3</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75</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9包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A3</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10包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A3</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85</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11包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13</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A5</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12包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15</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A5</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13包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18</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A5</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彩色</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14包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A5</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彩色</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15包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45</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B4</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16包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60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B4</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17包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25</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B5</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3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18包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30</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B5</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19包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46</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8K</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20包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46</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8K</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本白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21包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55</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8K</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22包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55</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8K</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本白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23包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23</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16K</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24包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23</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16K</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70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本白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25包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25</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16K</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漂白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r>
        <w:tblPrEx>
          <w:tblCellMar>
            <w:top w:w="0" w:type="dxa"/>
            <w:left w:w="0" w:type="dxa"/>
            <w:bottom w:w="0" w:type="dxa"/>
            <w:right w:w="0" w:type="dxa"/>
          </w:tblCellMar>
        </w:tblPrEx>
        <w:trPr>
          <w:trHeight w:val="300" w:hRule="atLeast"/>
        </w:trPr>
        <w:tc>
          <w:tcPr>
            <w:tcW w:w="153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26包</w:t>
            </w:r>
          </w:p>
        </w:tc>
        <w:tc>
          <w:tcPr>
            <w:tcW w:w="19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25</w:t>
            </w:r>
          </w:p>
        </w:tc>
        <w:tc>
          <w:tcPr>
            <w:tcW w:w="10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16K</w:t>
            </w:r>
          </w:p>
        </w:tc>
        <w:tc>
          <w:tcPr>
            <w:tcW w:w="186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80</w:t>
            </w:r>
          </w:p>
        </w:tc>
        <w:tc>
          <w:tcPr>
            <w:tcW w:w="112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本白</w:t>
            </w:r>
          </w:p>
        </w:tc>
        <w:tc>
          <w:tcPr>
            <w:tcW w:w="16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500张/包</w:t>
            </w:r>
          </w:p>
        </w:tc>
      </w:tr>
    </w:tbl>
    <w:p>
      <w:pPr>
        <w:rPr>
          <w:lang w:val="zh-CN"/>
        </w:rPr>
      </w:pPr>
    </w:p>
    <w:bookmarkEnd w:id="12"/>
    <w:bookmarkEnd w:id="13"/>
    <w:p>
      <w:pPr>
        <w:pStyle w:val="4"/>
        <w:numPr>
          <w:ilvl w:val="0"/>
          <w:numId w:val="1"/>
        </w:numPr>
        <w:spacing w:before="0" w:after="0" w:line="360" w:lineRule="auto"/>
        <w:ind w:left="616" w:hanging="616"/>
        <w:jc w:val="left"/>
        <w:rPr>
          <w:rFonts w:ascii="仿宋" w:hAnsi="仿宋" w:eastAsia="仿宋" w:cs="Times New Roman"/>
          <w:bCs w:val="0"/>
          <w:sz w:val="28"/>
          <w:szCs w:val="28"/>
          <w:lang w:val="zh-CN"/>
        </w:rPr>
      </w:pPr>
      <w:bookmarkStart w:id="16" w:name="_Toc494561955"/>
      <w:bookmarkStart w:id="17" w:name="_Toc19372"/>
      <w:bookmarkStart w:id="18" w:name="_Toc48134915"/>
      <w:r>
        <w:rPr>
          <w:rFonts w:hint="eastAsia" w:ascii="仿宋" w:hAnsi="仿宋" w:eastAsia="仿宋" w:cs="Times New Roman"/>
          <w:bCs w:val="0"/>
          <w:sz w:val="28"/>
          <w:szCs w:val="28"/>
          <w:lang w:val="zh-CN"/>
        </w:rPr>
        <w:t>技术、服务要求</w:t>
      </w:r>
      <w:bookmarkEnd w:id="16"/>
      <w:bookmarkEnd w:id="17"/>
      <w:bookmarkEnd w:id="18"/>
    </w:p>
    <w:p>
      <w:pPr>
        <w:spacing w:line="360" w:lineRule="auto"/>
        <w:ind w:firstLine="475" w:firstLineChars="198"/>
        <w:rPr>
          <w:rFonts w:ascii="仿宋" w:hAnsi="仿宋" w:eastAsia="仿宋" w:cs="Helvetica"/>
          <w:kern w:val="0"/>
          <w:sz w:val="24"/>
          <w:szCs w:val="24"/>
        </w:rPr>
      </w:pPr>
      <w:r>
        <w:rPr>
          <w:rFonts w:hint="eastAsia" w:ascii="仿宋" w:hAnsi="仿宋" w:eastAsia="仿宋" w:cs="Helvetica"/>
          <w:kern w:val="0"/>
          <w:sz w:val="24"/>
          <w:szCs w:val="24"/>
        </w:rPr>
        <w:t>纸张符合GB/T 24988-2020《复印纸》中合格品及以上标准，且生产工艺满足以下标准和特性</w:t>
      </w:r>
    </w:p>
    <w:tbl>
      <w:tblPr>
        <w:tblStyle w:val="9"/>
        <w:tblW w:w="9165" w:type="dxa"/>
        <w:tblInd w:w="0" w:type="dxa"/>
        <w:tblLayout w:type="fixed"/>
        <w:tblCellMar>
          <w:top w:w="0" w:type="dxa"/>
          <w:left w:w="0" w:type="dxa"/>
          <w:bottom w:w="0" w:type="dxa"/>
          <w:right w:w="0" w:type="dxa"/>
        </w:tblCellMar>
      </w:tblPr>
      <w:tblGrid>
        <w:gridCol w:w="2181"/>
        <w:gridCol w:w="1944"/>
        <w:gridCol w:w="5040"/>
      </w:tblGrid>
      <w:tr>
        <w:tblPrEx>
          <w:tblCellMar>
            <w:top w:w="0" w:type="dxa"/>
            <w:left w:w="0" w:type="dxa"/>
            <w:bottom w:w="0" w:type="dxa"/>
            <w:right w:w="0" w:type="dxa"/>
          </w:tblCellMar>
        </w:tblPrEx>
        <w:trPr>
          <w:trHeight w:val="300" w:hRule="atLeast"/>
        </w:trPr>
        <w:tc>
          <w:tcPr>
            <w:tcW w:w="2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jc w:val="left"/>
              <w:textAlignment w:val="bottom"/>
              <w:rPr>
                <w:rFonts w:ascii="仿宋" w:hAnsi="仿宋" w:eastAsia="仿宋" w:cs="宋体"/>
                <w:bCs/>
                <w:sz w:val="24"/>
                <w:szCs w:val="24"/>
              </w:rPr>
            </w:pPr>
            <w:r>
              <w:rPr>
                <w:rFonts w:hint="eastAsia" w:ascii="仿宋" w:hAnsi="仿宋" w:eastAsia="仿宋" w:cs="宋体"/>
                <w:bCs/>
                <w:sz w:val="24"/>
                <w:szCs w:val="24"/>
              </w:rPr>
              <w:t>项目</w:t>
            </w:r>
          </w:p>
        </w:tc>
        <w:tc>
          <w:tcPr>
            <w:tcW w:w="19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jc w:val="left"/>
              <w:textAlignment w:val="bottom"/>
              <w:rPr>
                <w:rFonts w:ascii="仿宋" w:hAnsi="仿宋" w:eastAsia="仿宋" w:cs="宋体"/>
                <w:bCs/>
                <w:sz w:val="24"/>
                <w:szCs w:val="24"/>
              </w:rPr>
            </w:pPr>
            <w:r>
              <w:rPr>
                <w:rFonts w:hint="eastAsia" w:ascii="仿宋" w:hAnsi="仿宋" w:eastAsia="仿宋" w:cs="宋体"/>
                <w:bCs/>
                <w:sz w:val="24"/>
                <w:szCs w:val="24"/>
              </w:rPr>
              <w:t>标准</w:t>
            </w:r>
          </w:p>
        </w:tc>
        <w:tc>
          <w:tcPr>
            <w:tcW w:w="5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jc w:val="left"/>
              <w:textAlignment w:val="bottom"/>
              <w:rPr>
                <w:rFonts w:ascii="仿宋" w:hAnsi="仿宋" w:eastAsia="仿宋" w:cs="宋体"/>
                <w:bCs/>
                <w:sz w:val="24"/>
                <w:szCs w:val="24"/>
              </w:rPr>
            </w:pPr>
            <w:r>
              <w:rPr>
                <w:rFonts w:hint="eastAsia" w:ascii="仿宋" w:hAnsi="仿宋" w:eastAsia="仿宋" w:cs="宋体"/>
                <w:bCs/>
                <w:sz w:val="24"/>
                <w:szCs w:val="24"/>
              </w:rPr>
              <w:t>特性</w:t>
            </w:r>
          </w:p>
        </w:tc>
      </w:tr>
      <w:tr>
        <w:tblPrEx>
          <w:tblCellMar>
            <w:top w:w="0" w:type="dxa"/>
            <w:left w:w="0" w:type="dxa"/>
            <w:bottom w:w="0" w:type="dxa"/>
            <w:right w:w="0" w:type="dxa"/>
          </w:tblCellMar>
        </w:tblPrEx>
        <w:trPr>
          <w:trHeight w:val="303" w:hRule="atLeast"/>
        </w:trPr>
        <w:tc>
          <w:tcPr>
            <w:tcW w:w="21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bottom"/>
              <w:rPr>
                <w:rFonts w:ascii="仿宋" w:hAnsi="仿宋" w:eastAsia="仿宋" w:cs="宋体"/>
                <w:bCs/>
                <w:sz w:val="24"/>
                <w:szCs w:val="24"/>
              </w:rPr>
            </w:pPr>
            <w:r>
              <w:rPr>
                <w:rFonts w:hint="eastAsia" w:ascii="仿宋" w:hAnsi="仿宋" w:eastAsia="仿宋" w:cs="宋体"/>
                <w:bCs/>
                <w:sz w:val="24"/>
                <w:szCs w:val="24"/>
              </w:rPr>
              <w:t>纸张生产工艺</w:t>
            </w:r>
          </w:p>
        </w:tc>
        <w:tc>
          <w:tcPr>
            <w:tcW w:w="19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bottom"/>
              <w:rPr>
                <w:rFonts w:ascii="仿宋" w:hAnsi="仿宋" w:eastAsia="仿宋" w:cs="宋体"/>
                <w:bCs/>
                <w:sz w:val="24"/>
                <w:szCs w:val="24"/>
              </w:rPr>
            </w:pPr>
            <w:r>
              <w:rPr>
                <w:rFonts w:hint="eastAsia" w:ascii="仿宋" w:hAnsi="仿宋" w:eastAsia="仿宋" w:cs="宋体"/>
                <w:bCs/>
                <w:sz w:val="24"/>
                <w:szCs w:val="24"/>
              </w:rPr>
              <w:t>中性（100%木桨）</w:t>
            </w:r>
          </w:p>
        </w:tc>
        <w:tc>
          <w:tcPr>
            <w:tcW w:w="5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jc w:val="left"/>
              <w:textAlignment w:val="bottom"/>
              <w:rPr>
                <w:rFonts w:ascii="仿宋" w:hAnsi="仿宋" w:eastAsia="仿宋" w:cs="宋体"/>
                <w:bCs/>
                <w:sz w:val="24"/>
                <w:szCs w:val="24"/>
              </w:rPr>
            </w:pPr>
            <w:r>
              <w:rPr>
                <w:rFonts w:hint="eastAsia" w:ascii="仿宋" w:hAnsi="仿宋" w:eastAsia="仿宋" w:cs="宋体"/>
                <w:bCs/>
                <w:sz w:val="24"/>
                <w:szCs w:val="24"/>
              </w:rPr>
              <w:t>耐摩擦、长期保存、不易产生粉尘、无静电</w:t>
            </w:r>
          </w:p>
        </w:tc>
      </w:tr>
    </w:tbl>
    <w:p>
      <w:pPr>
        <w:spacing w:line="360" w:lineRule="auto"/>
        <w:ind w:firstLine="475" w:firstLineChars="198"/>
        <w:rPr>
          <w:rFonts w:ascii="仿宋" w:hAnsi="仿宋" w:eastAsia="仿宋" w:cs="Helvetica"/>
          <w:kern w:val="0"/>
          <w:sz w:val="24"/>
          <w:szCs w:val="24"/>
          <w:lang w:val="zh-CN"/>
        </w:rPr>
      </w:pPr>
      <w:r>
        <w:rPr>
          <w:rFonts w:hint="eastAsia" w:ascii="仿宋" w:hAnsi="仿宋" w:eastAsia="仿宋" w:cs="Helvetica"/>
          <w:kern w:val="0"/>
          <w:sz w:val="24"/>
          <w:szCs w:val="24"/>
        </w:rPr>
        <w:t>响应要求：供应商响应的货物和服务的技术、商务等条件不得低于采购需求，货物原则上应当是市场上已有销售的规格型号，不得是专供政府采购的产品。供应商可同时响应多个分包，但每个包只能提交一款产品进行响应</w:t>
      </w:r>
      <w:r>
        <w:rPr>
          <w:rFonts w:hint="eastAsia" w:ascii="仿宋" w:hAnsi="仿宋" w:eastAsia="仿宋" w:cs="Helvetica"/>
          <w:kern w:val="0"/>
          <w:sz w:val="24"/>
          <w:szCs w:val="24"/>
          <w:lang w:eastAsia="zh-CN"/>
        </w:rPr>
        <w:t>，</w:t>
      </w:r>
      <w:r>
        <w:rPr>
          <w:rFonts w:hint="eastAsia" w:ascii="仿宋" w:hAnsi="仿宋" w:eastAsia="仿宋" w:cs="Helvetica"/>
          <w:kern w:val="0"/>
          <w:sz w:val="24"/>
          <w:szCs w:val="24"/>
        </w:rPr>
        <w:t>响应报价须包含配送费。</w:t>
      </w:r>
    </w:p>
    <w:p>
      <w:pPr>
        <w:spacing w:line="360" w:lineRule="auto"/>
        <w:ind w:firstLine="475" w:firstLineChars="198"/>
        <w:rPr>
          <w:rFonts w:ascii="仿宋" w:hAnsi="仿宋" w:eastAsia="仿宋" w:cs="Helvetica"/>
          <w:kern w:val="0"/>
          <w:sz w:val="24"/>
          <w:szCs w:val="24"/>
        </w:rPr>
      </w:pPr>
      <w:r>
        <w:rPr>
          <w:rFonts w:hint="eastAsia" w:ascii="仿宋" w:hAnsi="仿宋" w:eastAsia="仿宋" w:cs="Helvetica"/>
          <w:kern w:val="0"/>
          <w:sz w:val="24"/>
          <w:szCs w:val="24"/>
        </w:rPr>
        <w:t>服务标准：</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保证本次框架协议产品入围价、官方指导价是真实的，可考量的，接受征集人的监督、检查。</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保证所提供的货物是全新、未使用过的原装合格正品,并且符合国家有关质量技术标准及相关法律、法规规定的要求。</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保证</w:t>
      </w:r>
      <w:r>
        <w:rPr>
          <w:rFonts w:hint="eastAsia" w:ascii="仿宋" w:hAnsi="仿宋" w:eastAsia="仿宋" w:cs="Helvetica"/>
          <w:kern w:val="0"/>
          <w:sz w:val="24"/>
          <w:szCs w:val="24"/>
          <w:lang w:eastAsia="zh-CN"/>
        </w:rPr>
        <w:t>鄂州市</w:t>
      </w:r>
      <w:r>
        <w:rPr>
          <w:rFonts w:hint="eastAsia" w:ascii="仿宋" w:hAnsi="仿宋" w:eastAsia="仿宋" w:cs="Helvetica"/>
          <w:kern w:val="0"/>
          <w:sz w:val="24"/>
          <w:szCs w:val="24"/>
        </w:rPr>
        <w:t>各级采购人优先享受各项服务。</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针对本项目成立服务小组，指派专人负责日常管理及联络工作。</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建立采购人对产品代理商投诉及处理台帐，记录投诉内容及协调处理方法，有效督促产品代理商严格履约。</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服从征集人管理要求，通过</w:t>
      </w:r>
      <w:r>
        <w:rPr>
          <w:rFonts w:hint="eastAsia" w:ascii="仿宋" w:hAnsi="仿宋" w:eastAsia="仿宋" w:cs="Helvetica"/>
          <w:kern w:val="0"/>
          <w:sz w:val="24"/>
          <w:szCs w:val="24"/>
          <w:lang w:eastAsia="zh-CN"/>
        </w:rPr>
        <w:t>鄂州市</w:t>
      </w:r>
      <w:r>
        <w:rPr>
          <w:rFonts w:hint="eastAsia" w:ascii="仿宋" w:hAnsi="仿宋" w:eastAsia="仿宋" w:cs="Helvetica"/>
          <w:kern w:val="0"/>
          <w:sz w:val="24"/>
          <w:szCs w:val="24"/>
        </w:rPr>
        <w:t>政府采购电子商城执行本次框架协议采购合同。</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协助有关部门做好廉政工作，防止腐败现象的出现。</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响应供应商提供的其他服务承诺（如配送等）。</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入围供应商应按照框架协议管理相关规定，主动配合征集人和各级财政部门的管理，按照相关的要求实施框架协议采购，并应做好入围产品的信息维护、代理商履约管理等工作。</w:t>
      </w:r>
    </w:p>
    <w:p>
      <w:pPr>
        <w:numPr>
          <w:ilvl w:val="0"/>
          <w:numId w:val="2"/>
        </w:numPr>
        <w:spacing w:line="360" w:lineRule="auto"/>
        <w:rPr>
          <w:rFonts w:ascii="仿宋" w:hAnsi="仿宋" w:eastAsia="仿宋" w:cs="Helvetica"/>
          <w:kern w:val="0"/>
          <w:sz w:val="24"/>
          <w:szCs w:val="24"/>
        </w:rPr>
      </w:pPr>
      <w:r>
        <w:rPr>
          <w:rFonts w:hint="eastAsia" w:ascii="仿宋" w:hAnsi="仿宋" w:eastAsia="仿宋" w:cs="仿宋"/>
          <w:color w:val="000000"/>
          <w:kern w:val="0"/>
          <w:sz w:val="24"/>
          <w:szCs w:val="24"/>
          <w:lang w:bidi="ar"/>
        </w:rPr>
        <w:t>合同履行期限</w:t>
      </w:r>
      <w:r>
        <w:rPr>
          <w:rFonts w:hint="eastAsia" w:ascii="仿宋" w:hAnsi="仿宋" w:eastAsia="仿宋" w:cs="仿宋"/>
          <w:color w:val="000000"/>
          <w:kern w:val="0"/>
          <w:sz w:val="24"/>
          <w:szCs w:val="24"/>
          <w:lang w:eastAsia="zh-CN" w:bidi="ar"/>
        </w:rPr>
        <w:t>（</w:t>
      </w:r>
      <w:r>
        <w:rPr>
          <w:rFonts w:hint="eastAsia" w:ascii="仿宋" w:hAnsi="仿宋" w:eastAsia="仿宋" w:cs="Helvetica"/>
          <w:kern w:val="0"/>
          <w:sz w:val="24"/>
          <w:szCs w:val="24"/>
        </w:rPr>
        <w:t>交货时间</w:t>
      </w:r>
      <w:r>
        <w:rPr>
          <w:rFonts w:hint="eastAsia" w:ascii="仿宋" w:hAnsi="仿宋" w:eastAsia="仿宋" w:cs="仿宋"/>
          <w:color w:val="000000"/>
          <w:kern w:val="0"/>
          <w:sz w:val="24"/>
          <w:szCs w:val="24"/>
          <w:lang w:eastAsia="zh-CN" w:bidi="ar"/>
        </w:rPr>
        <w:t>）</w:t>
      </w:r>
      <w:r>
        <w:rPr>
          <w:rFonts w:hint="eastAsia" w:ascii="仿宋" w:hAnsi="仿宋" w:eastAsia="仿宋" w:cs="仿宋"/>
          <w:color w:val="000000"/>
          <w:kern w:val="0"/>
          <w:sz w:val="24"/>
          <w:szCs w:val="24"/>
          <w:lang w:val="en-US" w:eastAsia="zh-CN" w:bidi="ar"/>
        </w:rPr>
        <w:t>及</w:t>
      </w:r>
      <w:r>
        <w:rPr>
          <w:rFonts w:hint="eastAsia" w:ascii="仿宋" w:hAnsi="仿宋" w:eastAsia="仿宋" w:cs="Helvetica"/>
          <w:kern w:val="0"/>
          <w:sz w:val="24"/>
          <w:szCs w:val="24"/>
        </w:rPr>
        <w:t>地点：授予合同之日起30日内或者根据合同约定时间和地点交货。</w:t>
      </w:r>
    </w:p>
    <w:p>
      <w:pPr>
        <w:numPr>
          <w:ilvl w:val="0"/>
          <w:numId w:val="2"/>
        </w:numPr>
        <w:spacing w:line="360" w:lineRule="auto"/>
        <w:rPr>
          <w:rFonts w:ascii="仿宋" w:hAnsi="仿宋" w:eastAsia="仿宋" w:cs="Helvetica"/>
          <w:kern w:val="0"/>
          <w:sz w:val="24"/>
          <w:szCs w:val="24"/>
        </w:rPr>
      </w:pPr>
      <w:r>
        <w:rPr>
          <w:rFonts w:hint="eastAsia" w:ascii="仿宋" w:hAnsi="仿宋" w:eastAsia="仿宋" w:cs="Helvetica"/>
          <w:kern w:val="0"/>
          <w:sz w:val="24"/>
          <w:szCs w:val="24"/>
        </w:rPr>
        <w:t>验收：采购人组织产品验收，符合征集文件和响应文件要求方可验收。</w:t>
      </w:r>
    </w:p>
    <w:p>
      <w:pPr>
        <w:spacing w:line="360" w:lineRule="auto"/>
        <w:ind w:left="716" w:hanging="716" w:hangingChars="297"/>
        <w:rPr>
          <w:rFonts w:ascii="仿宋" w:hAnsi="仿宋" w:eastAsia="仿宋" w:cs="宋体"/>
          <w:b/>
          <w:color w:val="000000"/>
          <w:sz w:val="24"/>
          <w:szCs w:val="24"/>
        </w:rPr>
      </w:pPr>
    </w:p>
    <w:p>
      <w:pPr>
        <w:pStyle w:val="4"/>
        <w:numPr>
          <w:ilvl w:val="0"/>
          <w:numId w:val="1"/>
        </w:numPr>
        <w:spacing w:before="0" w:after="0" w:line="360" w:lineRule="auto"/>
        <w:ind w:left="616" w:hanging="616"/>
        <w:jc w:val="left"/>
        <w:rPr>
          <w:rFonts w:ascii="仿宋" w:hAnsi="仿宋" w:eastAsia="仿宋" w:cs="仿宋"/>
        </w:rPr>
      </w:pPr>
      <w:bookmarkStart w:id="19" w:name="_Toc48134916"/>
      <w:bookmarkStart w:id="20" w:name="_Toc23897"/>
      <w:r>
        <w:rPr>
          <w:rFonts w:hint="eastAsia" w:ascii="仿宋" w:hAnsi="仿宋" w:eastAsia="仿宋" w:cs="Times New Roman"/>
          <w:bCs w:val="0"/>
          <w:sz w:val="28"/>
          <w:szCs w:val="28"/>
          <w:lang w:val="zh-CN"/>
        </w:rPr>
        <w:t>商务要求</w:t>
      </w:r>
      <w:bookmarkEnd w:id="19"/>
      <w:bookmarkEnd w:id="20"/>
    </w:p>
    <w:p>
      <w:pPr>
        <w:numPr>
          <w:ilvl w:val="0"/>
          <w:numId w:val="3"/>
        </w:numPr>
        <w:spacing w:line="360" w:lineRule="auto"/>
        <w:ind w:left="5" w:firstLine="415"/>
        <w:rPr>
          <w:rFonts w:ascii="仿宋" w:hAnsi="仿宋" w:eastAsia="仿宋" w:cs="仿宋"/>
          <w:sz w:val="24"/>
          <w:szCs w:val="24"/>
        </w:rPr>
      </w:pPr>
      <w:r>
        <w:rPr>
          <w:rFonts w:hint="eastAsia" w:ascii="仿宋" w:hAnsi="仿宋" w:eastAsia="仿宋" w:cs="宋体"/>
          <w:bCs/>
          <w:sz w:val="24"/>
          <w:szCs w:val="24"/>
        </w:rPr>
        <w:t>价格确定：</w:t>
      </w:r>
    </w:p>
    <w:p>
      <w:pPr>
        <w:numPr>
          <w:ilvl w:val="0"/>
          <w:numId w:val="4"/>
        </w:numPr>
        <w:spacing w:line="360" w:lineRule="auto"/>
        <w:ind w:left="420"/>
        <w:rPr>
          <w:rFonts w:ascii="仿宋" w:hAnsi="仿宋" w:eastAsia="仿宋" w:cs="仿宋"/>
          <w:sz w:val="24"/>
          <w:szCs w:val="24"/>
        </w:rPr>
      </w:pPr>
      <w:r>
        <w:rPr>
          <w:rFonts w:hint="eastAsia" w:ascii="仿宋" w:hAnsi="仿宋" w:eastAsia="仿宋" w:cs="仿宋"/>
          <w:sz w:val="24"/>
          <w:szCs w:val="24"/>
        </w:rPr>
        <w:t>在框架协议期间，入围产品价格为合同授予阶段最高限价，不得上调；</w:t>
      </w:r>
    </w:p>
    <w:p>
      <w:pPr>
        <w:numPr>
          <w:ilvl w:val="0"/>
          <w:numId w:val="4"/>
        </w:numPr>
        <w:spacing w:line="360" w:lineRule="auto"/>
        <w:ind w:left="420"/>
        <w:rPr>
          <w:rFonts w:ascii="仿宋" w:hAnsi="仿宋" w:eastAsia="仿宋" w:cs="仿宋"/>
          <w:sz w:val="24"/>
          <w:szCs w:val="24"/>
        </w:rPr>
      </w:pPr>
      <w:r>
        <w:rPr>
          <w:rFonts w:hint="eastAsia" w:ascii="仿宋" w:hAnsi="仿宋" w:eastAsia="仿宋" w:cs="仿宋"/>
          <w:sz w:val="24"/>
          <w:szCs w:val="24"/>
        </w:rPr>
        <w:t>框架协议采购应当订立固定价格合同。</w:t>
      </w:r>
    </w:p>
    <w:p>
      <w:pPr>
        <w:numPr>
          <w:ilvl w:val="0"/>
          <w:numId w:val="4"/>
        </w:numPr>
        <w:spacing w:line="360" w:lineRule="auto"/>
        <w:ind w:left="420"/>
        <w:rPr>
          <w:rFonts w:ascii="仿宋" w:hAnsi="仿宋" w:eastAsia="仿宋" w:cs="仿宋"/>
          <w:sz w:val="24"/>
          <w:szCs w:val="24"/>
        </w:rPr>
      </w:pPr>
      <w:r>
        <w:rPr>
          <w:rFonts w:hint="eastAsia" w:ascii="仿宋" w:hAnsi="仿宋" w:eastAsia="仿宋" w:cs="仿宋"/>
          <w:sz w:val="24"/>
          <w:szCs w:val="24"/>
        </w:rPr>
        <w:t>在其他优惠条件方面，入围供应商不得对采购人实行差别待遇。零售客户等享受的优惠条件，采购人必须同等享受。</w:t>
      </w:r>
    </w:p>
    <w:p>
      <w:pPr>
        <w:numPr>
          <w:ilvl w:val="0"/>
          <w:numId w:val="4"/>
        </w:numPr>
        <w:spacing w:line="360" w:lineRule="auto"/>
        <w:ind w:left="420"/>
        <w:rPr>
          <w:rFonts w:ascii="仿宋" w:hAnsi="仿宋" w:eastAsia="仿宋" w:cs="仿宋"/>
          <w:sz w:val="24"/>
          <w:szCs w:val="24"/>
        </w:rPr>
      </w:pPr>
      <w:r>
        <w:rPr>
          <w:rFonts w:hint="eastAsia" w:ascii="仿宋" w:hAnsi="仿宋" w:eastAsia="仿宋" w:cs="仿宋"/>
          <w:sz w:val="24"/>
          <w:szCs w:val="24"/>
        </w:rPr>
        <w:t>响应供应商应按照技术参数响应表要求填报有关信息，在技术响应偏离表及商务响应偏离表填报。</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代理商要求：（1）复印纸框架协议采购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3）入围供应商及其推荐的协议供货代理商对本项目承担连带责任，协议供货代理商必须履行入围供应商参加征集时的要求其服务商服务承诺。</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售后服务：纸张数量、颜色、材质符合要求，出现质量问题24小时内解决。</w:t>
      </w:r>
    </w:p>
    <w:p>
      <w:pPr>
        <w:pStyle w:val="3"/>
        <w:keepNext/>
        <w:keepLines/>
        <w:pageBreakBefore/>
        <w:widowControl w:val="0"/>
        <w:numPr>
          <w:ilvl w:val="0"/>
          <w:numId w:val="0"/>
        </w:numPr>
        <w:kinsoku/>
        <w:wordWrap/>
        <w:overflowPunct/>
        <w:topLinePunct w:val="0"/>
        <w:autoSpaceDE/>
        <w:autoSpaceDN/>
        <w:bidi w:val="0"/>
        <w:adjustRightInd/>
        <w:snapToGrid/>
        <w:spacing w:before="313" w:beforeLines="100" w:after="313" w:afterLines="100" w:line="360" w:lineRule="auto"/>
        <w:ind w:leftChars="0"/>
        <w:jc w:val="center"/>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第三章 确定入围及成交供应商</w:t>
      </w:r>
    </w:p>
    <w:p>
      <w:pPr>
        <w:numPr>
          <w:ilvl w:val="0"/>
          <w:numId w:val="5"/>
        </w:numPr>
        <w:ind w:left="0" w:leftChars="0" w:firstLine="420" w:firstLineChars="0"/>
        <w:outlineLvl w:val="1"/>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确定第一阶段入围供应商的评审方法</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2、入围供应商的淘汰比例：20%，且至少淘汰一家供应商（提交响应文件和符合资格条件、实质性要求的供应商少于2家时，采购活动终止）。</w:t>
      </w:r>
    </w:p>
    <w:p>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w:t>
      </w:r>
      <w:r>
        <w:rPr>
          <w:rFonts w:ascii="仿宋" w:hAnsi="仿宋" w:eastAsia="仿宋" w:cs="仿宋"/>
          <w:bCs/>
          <w:sz w:val="28"/>
          <w:szCs w:val="28"/>
        </w:rPr>
        <w:t>若计算的淘汰数非整数，则按照向上取整原则进行处理。即，淘汰数量=向上取整[供应商数量×20%]（示例：如有11家供应商投标</w:t>
      </w:r>
      <w:r>
        <w:rPr>
          <w:rFonts w:hint="eastAsia" w:ascii="仿宋" w:hAnsi="仿宋" w:eastAsia="仿宋" w:cs="仿宋"/>
          <w:bCs/>
          <w:sz w:val="28"/>
          <w:szCs w:val="28"/>
        </w:rPr>
        <w:t>，淘汰数量=向上取整</w:t>
      </w:r>
      <w:r>
        <w:rPr>
          <w:rFonts w:ascii="仿宋" w:hAnsi="仿宋" w:eastAsia="仿宋" w:cs="仿宋"/>
          <w:bCs/>
          <w:sz w:val="28"/>
          <w:szCs w:val="28"/>
        </w:rPr>
        <w:t>[</w:t>
      </w:r>
      <w:r>
        <w:rPr>
          <w:rFonts w:hint="eastAsia" w:ascii="仿宋" w:hAnsi="仿宋" w:eastAsia="仿宋" w:cs="仿宋"/>
          <w:bCs/>
          <w:sz w:val="28"/>
          <w:szCs w:val="28"/>
        </w:rPr>
        <w:t>11</w:t>
      </w:r>
      <w:r>
        <w:rPr>
          <w:rFonts w:ascii="仿宋" w:hAnsi="仿宋" w:eastAsia="仿宋" w:cs="仿宋"/>
          <w:bCs/>
          <w:sz w:val="28"/>
          <w:szCs w:val="28"/>
        </w:rPr>
        <w:t>×20%]=向上取整[</w:t>
      </w:r>
      <w:r>
        <w:rPr>
          <w:rFonts w:hint="eastAsia" w:ascii="仿宋" w:hAnsi="仿宋" w:eastAsia="仿宋" w:cs="仿宋"/>
          <w:bCs/>
          <w:sz w:val="28"/>
          <w:szCs w:val="28"/>
        </w:rPr>
        <w:t>2.2</w:t>
      </w:r>
      <w:r>
        <w:rPr>
          <w:rFonts w:ascii="仿宋" w:hAnsi="仿宋" w:eastAsia="仿宋" w:cs="仿宋"/>
          <w:bCs/>
          <w:sz w:val="28"/>
          <w:szCs w:val="28"/>
        </w:rPr>
        <w:t>]</w:t>
      </w:r>
      <w:r>
        <w:rPr>
          <w:rFonts w:hint="eastAsia" w:ascii="仿宋" w:hAnsi="仿宋" w:eastAsia="仿宋" w:cs="仿宋"/>
          <w:bCs/>
          <w:sz w:val="28"/>
          <w:szCs w:val="28"/>
        </w:rPr>
        <w:t>=3</w:t>
      </w:r>
      <w:r>
        <w:rPr>
          <w:rFonts w:ascii="仿宋" w:hAnsi="仿宋" w:eastAsia="仿宋" w:cs="仿宋"/>
          <w:bCs/>
          <w:sz w:val="28"/>
          <w:szCs w:val="28"/>
        </w:rPr>
        <w:t>,最终实际淘汰3家供应商）</w:t>
      </w:r>
      <w:r>
        <w:rPr>
          <w:rFonts w:hint="eastAsia" w:ascii="仿宋" w:hAnsi="仿宋" w:eastAsia="仿宋" w:cs="仿宋"/>
          <w:bCs/>
          <w:sz w:val="28"/>
          <w:szCs w:val="28"/>
        </w:rPr>
        <w:t>；</w:t>
      </w:r>
    </w:p>
    <w:p>
      <w:pPr>
        <w:spacing w:line="360" w:lineRule="auto"/>
        <w:ind w:firstLine="560" w:firstLineChars="200"/>
        <w:rPr>
          <w:rFonts w:hint="eastAsia" w:ascii="仿宋" w:hAnsi="仿宋" w:eastAsia="仿宋" w:cs="仿宋"/>
          <w:bCs/>
          <w:sz w:val="28"/>
          <w:szCs w:val="28"/>
          <w:lang w:val="en-US" w:eastAsia="zh-CN"/>
        </w:rPr>
      </w:pPr>
      <w:r>
        <w:rPr>
          <w:rFonts w:ascii="仿宋" w:hAnsi="仿宋" w:eastAsia="仿宋" w:cs="仿宋"/>
          <w:bCs/>
          <w:sz w:val="28"/>
          <w:szCs w:val="28"/>
        </w:rPr>
        <w:t>（2）</w:t>
      </w:r>
      <w:r>
        <w:rPr>
          <w:rFonts w:hint="eastAsia" w:ascii="仿宋" w:hAnsi="仿宋" w:eastAsia="仿宋" w:cs="仿宋"/>
          <w:bCs/>
          <w:sz w:val="28"/>
          <w:szCs w:val="28"/>
        </w:rPr>
        <w:t>若</w:t>
      </w:r>
      <w:r>
        <w:rPr>
          <w:rFonts w:ascii="仿宋" w:hAnsi="仿宋" w:eastAsia="仿宋" w:cs="仿宋"/>
          <w:bCs/>
          <w:sz w:val="28"/>
          <w:szCs w:val="28"/>
        </w:rPr>
        <w:t>按淘汰率得出的淘汰名次存在并列排序，</w:t>
      </w:r>
      <w:r>
        <w:rPr>
          <w:rFonts w:hint="eastAsia" w:ascii="仿宋" w:hAnsi="仿宋" w:eastAsia="仿宋" w:cs="仿宋"/>
          <w:bCs/>
          <w:sz w:val="28"/>
          <w:szCs w:val="28"/>
          <w:lang w:eastAsia="zh-CN"/>
        </w:rPr>
        <w:t>比较供应商提供</w:t>
      </w:r>
      <w:r>
        <w:rPr>
          <w:rFonts w:hint="eastAsia" w:ascii="仿宋" w:hAnsi="仿宋" w:eastAsia="仿宋" w:cs="仿宋"/>
          <w:bCs/>
          <w:sz w:val="28"/>
          <w:szCs w:val="28"/>
          <w:lang w:val="en-US" w:eastAsia="zh-CN"/>
        </w:rPr>
        <w:t>服务器</w:t>
      </w:r>
      <w:r>
        <w:rPr>
          <w:rFonts w:hint="eastAsia" w:ascii="仿宋" w:hAnsi="仿宋" w:eastAsia="仿宋" w:cs="仿宋"/>
          <w:bCs/>
          <w:sz w:val="28"/>
          <w:szCs w:val="28"/>
          <w:lang w:eastAsia="zh-CN"/>
        </w:rPr>
        <w:t>的技术参数，</w:t>
      </w:r>
      <w:r>
        <w:rPr>
          <w:rFonts w:hint="eastAsia" w:ascii="仿宋" w:hAnsi="仿宋" w:eastAsia="仿宋" w:cs="仿宋"/>
          <w:bCs/>
          <w:sz w:val="28"/>
          <w:szCs w:val="28"/>
          <w:lang w:val="en-US" w:eastAsia="zh-CN"/>
        </w:rPr>
        <w:t>依次按以下方式决定供应商排序：</w:t>
      </w:r>
    </w:p>
    <w:p>
      <w:pPr>
        <w:numPr>
          <w:ilvl w:val="0"/>
          <w:numId w:val="6"/>
        </w:numPr>
        <w:spacing w:line="360" w:lineRule="auto"/>
        <w:ind w:left="1265" w:leftChars="0" w:hanging="425" w:firstLineChars="0"/>
        <w:rPr>
          <w:rFonts w:hint="default" w:ascii="仿宋" w:hAnsi="仿宋" w:eastAsia="仿宋" w:cs="仿宋"/>
          <w:bCs/>
          <w:sz w:val="28"/>
          <w:szCs w:val="28"/>
          <w:lang w:val="en-US" w:eastAsia="zh-CN"/>
        </w:rPr>
      </w:pPr>
      <w:r>
        <w:rPr>
          <w:rFonts w:hint="eastAsia" w:ascii="仿宋" w:hAnsi="仿宋" w:eastAsia="仿宋" w:cs="仿宋"/>
          <w:bCs/>
          <w:sz w:val="28"/>
          <w:szCs w:val="28"/>
          <w:lang w:val="en-US" w:eastAsia="zh-CN"/>
        </w:rPr>
        <w:t>硬盘转数越快排序名次越高。</w:t>
      </w:r>
    </w:p>
    <w:p>
      <w:pPr>
        <w:numPr>
          <w:ilvl w:val="0"/>
          <w:numId w:val="6"/>
        </w:numPr>
        <w:spacing w:line="360" w:lineRule="auto"/>
        <w:ind w:left="1265" w:leftChars="0" w:hanging="425" w:firstLineChars="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内存</w:t>
      </w:r>
      <w:r>
        <w:rPr>
          <w:rFonts w:hint="eastAsia" w:ascii="仿宋" w:hAnsi="仿宋" w:eastAsia="仿宋" w:cs="仿宋"/>
          <w:bCs/>
          <w:sz w:val="28"/>
          <w:szCs w:val="28"/>
          <w:lang w:eastAsia="zh-CN"/>
        </w:rPr>
        <w:t>容量</w:t>
      </w:r>
      <w:r>
        <w:rPr>
          <w:rFonts w:hint="eastAsia" w:ascii="仿宋" w:hAnsi="仿宋" w:eastAsia="仿宋" w:cs="仿宋"/>
          <w:bCs/>
          <w:sz w:val="28"/>
          <w:szCs w:val="28"/>
          <w:lang w:val="en-US" w:eastAsia="zh-CN"/>
        </w:rPr>
        <w:t>越大排序名次越高。</w:t>
      </w:r>
    </w:p>
    <w:p>
      <w:pPr>
        <w:numPr>
          <w:ilvl w:val="0"/>
          <w:numId w:val="6"/>
        </w:numPr>
        <w:spacing w:line="360" w:lineRule="auto"/>
        <w:ind w:left="1265" w:leftChars="0" w:hanging="425" w:firstLineChars="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前述方式仍不能确定拟淘汰供应商排序的，由评审小组采取随机抽取方式确定拟淘汰供应商排序（抽取过程全程监控录音录像，以确保公正）：</w:t>
      </w:r>
    </w:p>
    <w:p>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①评审小组随机抽取不同花色数字的扑克牌与不同供应商对应，并记录对应关系；</w:t>
      </w:r>
    </w:p>
    <w:p>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②由</w:t>
      </w:r>
      <w:r>
        <w:rPr>
          <w:rFonts w:hint="eastAsia" w:ascii="仿宋" w:hAnsi="仿宋" w:eastAsia="仿宋" w:cs="仿宋"/>
          <w:bCs/>
          <w:sz w:val="28"/>
          <w:szCs w:val="28"/>
          <w:lang w:eastAsia="zh-CN"/>
        </w:rPr>
        <w:t>鄂州市</w:t>
      </w:r>
      <w:r>
        <w:rPr>
          <w:rFonts w:hint="eastAsia" w:ascii="仿宋" w:hAnsi="仿宋" w:eastAsia="仿宋" w:cs="仿宋"/>
          <w:bCs/>
          <w:sz w:val="28"/>
          <w:szCs w:val="28"/>
        </w:rPr>
        <w:t xml:space="preserve">政府采购中心工作人员将扑克牌背面朝上打乱排序，随机摆放在桌面上（此过程评审小组需回避）； </w:t>
      </w:r>
    </w:p>
    <w:p>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③评审小组随机抽取扑克牌，数量与须淘汰供应商数量相等。与被抽取扑克牌对应的供应商即为淘汰供应商；</w:t>
      </w:r>
    </w:p>
    <w:p>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④评审小组记录被抽取扑克牌花色数字，并确认淘汰供应商名称。</w:t>
      </w:r>
    </w:p>
    <w:p>
      <w:pPr>
        <w:spacing w:line="360" w:lineRule="auto"/>
        <w:ind w:firstLine="562" w:firstLineChars="200"/>
        <w:rPr>
          <w:rFonts w:ascii="仿宋" w:hAnsi="仿宋" w:eastAsia="仿宋" w:cs="仿宋"/>
          <w:b/>
          <w:bCs w:val="0"/>
          <w:sz w:val="28"/>
          <w:szCs w:val="28"/>
        </w:rPr>
      </w:pPr>
      <w:r>
        <w:rPr>
          <w:rFonts w:ascii="仿宋" w:hAnsi="仿宋" w:eastAsia="仿宋" w:cs="仿宋"/>
          <w:b/>
          <w:bCs w:val="0"/>
          <w:sz w:val="28"/>
          <w:szCs w:val="28"/>
        </w:rPr>
        <w:t>政府采购政策功能落实</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1、小微型企业价格扣除</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（1）本项目对小型和微型企业产品给予</w:t>
      </w:r>
      <w:r>
        <w:rPr>
          <w:rFonts w:hint="eastAsia" w:ascii="仿宋" w:hAnsi="仿宋" w:eastAsia="仿宋" w:cs="仿宋"/>
          <w:bCs/>
          <w:sz w:val="28"/>
          <w:szCs w:val="28"/>
        </w:rPr>
        <w:t>1</w:t>
      </w:r>
      <w:r>
        <w:rPr>
          <w:rFonts w:hint="eastAsia" w:ascii="仿宋" w:hAnsi="仿宋" w:eastAsia="仿宋" w:cs="仿宋"/>
          <w:bCs/>
          <w:sz w:val="28"/>
          <w:szCs w:val="28"/>
          <w:lang w:val="en-US" w:eastAsia="zh-CN"/>
        </w:rPr>
        <w:t>0</w:t>
      </w:r>
      <w:r>
        <w:rPr>
          <w:rFonts w:ascii="仿宋" w:hAnsi="仿宋" w:eastAsia="仿宋" w:cs="仿宋"/>
          <w:bCs/>
          <w:sz w:val="28"/>
          <w:szCs w:val="28"/>
        </w:rPr>
        <w:t>%的扣除价格，用扣除后的价格参与排序。</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（2）供应商需按照征集文件的要求提供相应的《小微企业声明函》。</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（3）企业标准请参照《关于印发中小企业划型标准规定的通知》（工信部联企业[2011]300号）文件规定自行填写。</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2、残疾人福利单位价格扣除</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（1）本项目对残疾人福利性单位视同小型、微型企业，给予</w:t>
      </w:r>
      <w:r>
        <w:rPr>
          <w:rFonts w:hint="eastAsia" w:ascii="仿宋" w:hAnsi="仿宋" w:eastAsia="仿宋" w:cs="仿宋"/>
          <w:bCs/>
          <w:sz w:val="28"/>
          <w:szCs w:val="28"/>
        </w:rPr>
        <w:t>1</w:t>
      </w:r>
      <w:r>
        <w:rPr>
          <w:rFonts w:hint="eastAsia" w:ascii="仿宋" w:hAnsi="仿宋" w:eastAsia="仿宋" w:cs="仿宋"/>
          <w:bCs/>
          <w:sz w:val="28"/>
          <w:szCs w:val="28"/>
          <w:lang w:val="en-US" w:eastAsia="zh-CN"/>
        </w:rPr>
        <w:t>0</w:t>
      </w:r>
      <w:r>
        <w:rPr>
          <w:rFonts w:ascii="仿宋" w:hAnsi="仿宋" w:eastAsia="仿宋" w:cs="仿宋"/>
          <w:bCs/>
          <w:sz w:val="28"/>
          <w:szCs w:val="28"/>
        </w:rPr>
        <w:t>%的价格扣除，用扣除后的价格参与排序。</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（2）残疾人福利单位需按照征集文件的要求提供《残疾人福利性单位声明函》。</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（3）残疾人福利单位标准请参照《关于促进残疾人就业政府采购政策的通知》（财库〔2017〕141号）。</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3、监狱和戒毒企业价格扣除</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（1）本项目对监狱和戒毒企业（简称监狱企业）视同小型、微型企业，给予1</w:t>
      </w:r>
      <w:r>
        <w:rPr>
          <w:rFonts w:hint="eastAsia" w:ascii="仿宋" w:hAnsi="仿宋" w:eastAsia="仿宋" w:cs="仿宋"/>
          <w:bCs/>
          <w:sz w:val="28"/>
          <w:szCs w:val="28"/>
          <w:lang w:val="en-US" w:eastAsia="zh-CN"/>
        </w:rPr>
        <w:t>0</w:t>
      </w:r>
      <w:r>
        <w:rPr>
          <w:rFonts w:ascii="仿宋" w:hAnsi="仿宋" w:eastAsia="仿宋" w:cs="仿宋"/>
          <w:bCs/>
          <w:sz w:val="28"/>
          <w:szCs w:val="28"/>
        </w:rPr>
        <w:t>%的价格扣除，用扣除后的价格参与排序。</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（2）监狱企业参加政府采购活动时，需提供由省级以上监狱管理局、戒毒管理局(含新疆生产建设兵团)出具的属于监狱企业的证明文件。供应商如不提供上述证明文件，价格将不做相应扣除。</w:t>
      </w:r>
    </w:p>
    <w:p>
      <w:pPr>
        <w:spacing w:line="360" w:lineRule="auto"/>
        <w:ind w:firstLine="560" w:firstLineChars="200"/>
        <w:rPr>
          <w:rFonts w:ascii="仿宋" w:hAnsi="仿宋" w:eastAsia="仿宋" w:cs="仿宋"/>
          <w:bCs/>
          <w:sz w:val="28"/>
          <w:szCs w:val="28"/>
        </w:rPr>
      </w:pPr>
      <w:r>
        <w:rPr>
          <w:rFonts w:ascii="仿宋" w:hAnsi="仿宋" w:eastAsia="仿宋" w:cs="仿宋"/>
          <w:bCs/>
          <w:sz w:val="28"/>
          <w:szCs w:val="28"/>
        </w:rPr>
        <w:t>（3）监狱企业标准请参照《关于政府采购支持监狱企业发展有关问题的通知》（财库[2014]68号）。</w:t>
      </w:r>
    </w:p>
    <w:p>
      <w:pPr>
        <w:spacing w:line="360" w:lineRule="auto"/>
        <w:ind w:firstLine="560" w:firstLineChars="200"/>
        <w:rPr>
          <w:rFonts w:ascii="仿宋" w:hAnsi="仿宋" w:eastAsia="仿宋" w:cs="仿宋"/>
          <w:bCs/>
          <w:sz w:val="28"/>
          <w:szCs w:val="28"/>
        </w:rPr>
      </w:pPr>
      <w:r>
        <w:rPr>
          <w:rFonts w:hint="default" w:ascii="仿宋" w:hAnsi="仿宋" w:eastAsia="仿宋" w:cs="仿宋"/>
          <w:bCs/>
          <w:sz w:val="28"/>
          <w:szCs w:val="28"/>
          <w:lang w:val="en-US" w:eastAsia="zh-CN"/>
        </w:rPr>
        <w:t>4、残疾人福利单位、监狱企业属于小型、微型企业的，不重复享受政策</w:t>
      </w:r>
      <w:r>
        <w:rPr>
          <w:rFonts w:ascii="仿宋" w:hAnsi="仿宋" w:eastAsia="仿宋" w:cs="仿宋"/>
          <w:bCs/>
          <w:sz w:val="28"/>
          <w:szCs w:val="28"/>
        </w:rPr>
        <w:t>。</w:t>
      </w:r>
    </w:p>
    <w:p>
      <w:pPr>
        <w:numPr>
          <w:ilvl w:val="0"/>
          <w:numId w:val="5"/>
        </w:numPr>
        <w:ind w:left="0" w:leftChars="0" w:firstLine="420" w:firstLineChars="0"/>
        <w:outlineLvl w:val="1"/>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确定第二阶段成交供应商的方式</w:t>
      </w:r>
    </w:p>
    <w:p>
      <w:pPr>
        <w:numPr>
          <w:ilvl w:val="0"/>
          <w:numId w:val="7"/>
        </w:numPr>
        <w:spacing w:line="360" w:lineRule="auto"/>
        <w:ind w:left="5" w:leftChars="0" w:firstLine="415" w:firstLineChars="0"/>
        <w:rPr>
          <w:rFonts w:hint="eastAsia" w:ascii="仿宋" w:hAnsi="仿宋" w:eastAsia="仿宋" w:cs="宋体"/>
          <w:b w:val="0"/>
          <w:bCs/>
          <w:color w:val="auto"/>
          <w:sz w:val="28"/>
          <w:szCs w:val="28"/>
          <w:lang w:val="en-US" w:eastAsia="zh-CN"/>
        </w:rPr>
      </w:pPr>
      <w:r>
        <w:rPr>
          <w:rFonts w:hint="eastAsia" w:ascii="仿宋" w:hAnsi="仿宋" w:eastAsia="仿宋" w:cs="宋体"/>
          <w:b w:val="0"/>
          <w:bCs/>
          <w:color w:val="auto"/>
          <w:sz w:val="28"/>
          <w:szCs w:val="28"/>
          <w:lang w:val="en-US" w:eastAsia="zh-CN"/>
        </w:rPr>
        <w:t>确定第二阶段成交供应商的方式为直接选定或二次竞价。直接选定由采购人或者服务对象依据入围产品价格、质量以及服务便利性、用户评价等因素，从第一阶段入围供应商中直接选定。二次竞价</w:t>
      </w:r>
      <w:r>
        <w:rPr>
          <w:rFonts w:hint="eastAsia" w:ascii="仿宋" w:hAnsi="仿宋" w:eastAsia="仿宋" w:cs="宋体"/>
          <w:b w:val="0"/>
          <w:bCs/>
          <w:color w:val="auto"/>
          <w:sz w:val="28"/>
          <w:szCs w:val="28"/>
          <w:lang w:val="zh-CN" w:eastAsia="zh-CN"/>
        </w:rPr>
        <w:t>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7"/>
        </w:numPr>
        <w:spacing w:line="360" w:lineRule="auto"/>
        <w:ind w:left="5" w:leftChars="0" w:firstLine="415" w:firstLineChars="0"/>
        <w:rPr>
          <w:rFonts w:hint="eastAsia" w:ascii="仿宋" w:hAnsi="仿宋" w:eastAsia="仿宋" w:cs="宋体"/>
          <w:b w:val="0"/>
          <w:bCs/>
          <w:color w:val="auto"/>
          <w:sz w:val="28"/>
          <w:szCs w:val="28"/>
          <w:lang w:val="en-US" w:eastAsia="zh-CN"/>
        </w:rPr>
      </w:pPr>
      <w:r>
        <w:rPr>
          <w:rFonts w:hint="eastAsia" w:ascii="仿宋" w:hAnsi="仿宋" w:eastAsia="仿宋" w:cs="宋体"/>
          <w:b w:val="0"/>
          <w:bCs/>
          <w:color w:val="auto"/>
          <w:sz w:val="28"/>
          <w:szCs w:val="28"/>
          <w:lang w:val="en-US" w:eastAsia="zh-CN"/>
        </w:rPr>
        <w:t>采购人在确定成交供应商后，双方应当按照框架协议中规定的“采购合同文本”格式签订电子采购合同，不得擅自改变框架协议约定的合同实质性条款。</w:t>
      </w:r>
    </w:p>
    <w:bookmarkEnd w:id="5"/>
    <w:bookmarkEnd w:id="6"/>
    <w:bookmarkEnd w:id="7"/>
    <w:bookmarkEnd w:id="8"/>
    <w:bookmarkEnd w:id="9"/>
    <w:bookmarkEnd w:id="10"/>
    <w:bookmarkEnd w:id="11"/>
    <w:p>
      <w:pPr>
        <w:rPr>
          <w:rFonts w:hint="eastAsia" w:ascii="仿宋" w:hAnsi="仿宋" w:eastAsia="仿宋"/>
          <w:sz w:val="32"/>
          <w:szCs w:val="32"/>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F8BAD"/>
    <w:multiLevelType w:val="singleLevel"/>
    <w:tmpl w:val="9C3F8BAD"/>
    <w:lvl w:ilvl="0" w:tentative="0">
      <w:start w:val="1"/>
      <w:numFmt w:val="decimal"/>
      <w:lvlText w:val="%1."/>
      <w:lvlJc w:val="left"/>
      <w:pPr>
        <w:ind w:left="425" w:hanging="425"/>
      </w:pPr>
      <w:rPr>
        <w:rFonts w:hint="default"/>
      </w:rPr>
    </w:lvl>
  </w:abstractNum>
  <w:abstractNum w:abstractNumId="1">
    <w:nsid w:val="B5EEBE61"/>
    <w:multiLevelType w:val="singleLevel"/>
    <w:tmpl w:val="B5EEBE61"/>
    <w:lvl w:ilvl="0" w:tentative="0">
      <w:start w:val="1"/>
      <w:numFmt w:val="decimal"/>
      <w:suff w:val="nothing"/>
      <w:lvlText w:val="%1．"/>
      <w:lvlJc w:val="left"/>
      <w:pPr>
        <w:ind w:left="0" w:firstLine="400"/>
      </w:pPr>
      <w:rPr>
        <w:rFonts w:hint="default"/>
      </w:rPr>
    </w:lvl>
  </w:abstractNum>
  <w:abstractNum w:abstractNumId="2">
    <w:nsid w:val="CB638ED1"/>
    <w:multiLevelType w:val="singleLevel"/>
    <w:tmpl w:val="CB638ED1"/>
    <w:lvl w:ilvl="0" w:tentative="0">
      <w:start w:val="1"/>
      <w:numFmt w:val="decimal"/>
      <w:lvlText w:val="%1."/>
      <w:lvlJc w:val="left"/>
      <w:pPr>
        <w:ind w:left="425" w:hanging="425"/>
      </w:pPr>
      <w:rPr>
        <w:rFonts w:hint="default"/>
      </w:rPr>
    </w:lvl>
  </w:abstractNum>
  <w:abstractNum w:abstractNumId="3">
    <w:nsid w:val="0BED8650"/>
    <w:multiLevelType w:val="singleLevel"/>
    <w:tmpl w:val="0BED8650"/>
    <w:lvl w:ilvl="0" w:tentative="0">
      <w:start w:val="1"/>
      <w:numFmt w:val="chineseCounting"/>
      <w:suff w:val="nothing"/>
      <w:lvlText w:val="（%1）"/>
      <w:lvlJc w:val="left"/>
      <w:pPr>
        <w:ind w:left="0" w:firstLine="420"/>
      </w:pPr>
      <w:rPr>
        <w:rFonts w:hint="eastAsia"/>
      </w:rPr>
    </w:lvl>
  </w:abstractNum>
  <w:abstractNum w:abstractNumId="4">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97FE4A7"/>
    <w:multiLevelType w:val="singleLevel"/>
    <w:tmpl w:val="397FE4A7"/>
    <w:lvl w:ilvl="0" w:tentative="0">
      <w:start w:val="1"/>
      <w:numFmt w:val="decimal"/>
      <w:lvlText w:val="%1)"/>
      <w:lvlJc w:val="left"/>
      <w:pPr>
        <w:ind w:left="1265" w:hanging="425"/>
      </w:pPr>
      <w:rPr>
        <w:rFonts w:hint="default"/>
      </w:rPr>
    </w:lvl>
  </w:abstractNum>
  <w:abstractNum w:abstractNumId="6">
    <w:nsid w:val="6F02424B"/>
    <w:multiLevelType w:val="singleLevel"/>
    <w:tmpl w:val="6F02424B"/>
    <w:lvl w:ilvl="0" w:tentative="0">
      <w:start w:val="1"/>
      <w:numFmt w:val="decimal"/>
      <w:suff w:val="nothing"/>
      <w:lvlText w:val="（%1）"/>
      <w:lvlJc w:val="left"/>
    </w:lvl>
  </w:abstractNum>
  <w:num w:numId="1">
    <w:abstractNumId w:val="4"/>
  </w:num>
  <w:num w:numId="2">
    <w:abstractNumId w:val="1"/>
  </w:num>
  <w:num w:numId="3">
    <w:abstractNumId w:val="2"/>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500616D9"/>
    <w:rsid w:val="09D373F3"/>
    <w:rsid w:val="1AB26876"/>
    <w:rsid w:val="420F629E"/>
    <w:rsid w:val="4590314A"/>
    <w:rsid w:val="4C7258DC"/>
    <w:rsid w:val="4D1C7424"/>
    <w:rsid w:val="500616D9"/>
    <w:rsid w:val="65910681"/>
    <w:rsid w:val="681E6973"/>
    <w:rsid w:val="713419B2"/>
    <w:rsid w:val="71B47ED3"/>
    <w:rsid w:val="76E47A4F"/>
    <w:rsid w:val="D5FF8F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Ascii" w:hAnsiTheme="minorAscii"/>
      <w:b/>
      <w:bCs/>
      <w:kern w:val="44"/>
      <w:sz w:val="44"/>
      <w:szCs w:val="44"/>
    </w:rPr>
  </w:style>
  <w:style w:type="paragraph" w:styleId="4">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5">
    <w:name w:val="Body Text"/>
    <w:basedOn w:val="1"/>
    <w:unhideWhenUsed/>
    <w:qFormat/>
    <w:uiPriority w:val="99"/>
    <w:pPr>
      <w:spacing w:after="120"/>
    </w:pPr>
  </w:style>
  <w:style w:type="paragraph" w:styleId="6">
    <w:name w:val="Body Text Indent"/>
    <w:basedOn w:val="1"/>
    <w:next w:val="7"/>
    <w:unhideWhenUsed/>
    <w:qFormat/>
    <w:uiPriority w:val="99"/>
    <w:pPr>
      <w:spacing w:after="120"/>
      <w:ind w:left="420" w:leftChars="200"/>
    </w:pPr>
  </w:style>
  <w:style w:type="paragraph" w:styleId="7">
    <w:name w:val="Body Text First Indent 2"/>
    <w:basedOn w:val="6"/>
    <w:unhideWhenUsed/>
    <w:qFormat/>
    <w:uiPriority w:val="99"/>
    <w:pPr>
      <w:ind w:firstLine="420" w:firstLineChars="200"/>
    </w:pPr>
  </w:style>
  <w:style w:type="paragraph" w:styleId="8">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11">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paragraph" w:customStyle="1" w:styleId="12">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3">
    <w:name w:val="fontstyle21"/>
    <w:basedOn w:val="10"/>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3269</Words>
  <Characters>3494</Characters>
  <Lines>0</Lines>
  <Paragraphs>0</Paragraphs>
  <TotalTime>0</TotalTime>
  <ScaleCrop>false</ScaleCrop>
  <LinksUpToDate>false</LinksUpToDate>
  <CharactersWithSpaces>3499</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2023-09-26T09:54:00Z</dcterms:created>
  <dc:creator>NS</dc:creator>
  <cp:lastModifiedBy>胡靖</cp:lastModifiedBy>
  <dcterms:modified xsi:type="dcterms:W3CDTF">2023-12-12T08:56:23Z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654F0A4D999A4AADA0C59A8B736F7B06</vt:lpwstr>
  </property>
</Properties>
</file>