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027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招标文件（资审文件）提前公示</w:t>
      </w:r>
    </w:p>
    <w:p w14:paraId="2491DE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操作指南</w:t>
      </w:r>
    </w:p>
    <w:p w14:paraId="696023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46249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一、招标项目方案页面调整</w:t>
      </w:r>
    </w:p>
    <w:p w14:paraId="2CCAA2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鄂州市公共资源交易平台建设工程交易系统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【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招标项目方案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】菜单下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“招标项目方案”页面新增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“招标文件（资审文件）是否提前公示”字段，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招标人/招标代理机构在信息备案时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可选择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“是”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或“否”。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操作时应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注意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以下事项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：</w:t>
      </w:r>
    </w:p>
    <w:p w14:paraId="38AF1B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若选择“是”，则该标段需在“招标文件（资审文件）提前公示”发布的 3 个工作日后方可进行场地预约以及发布正式的招标文件（资审文件），发布当日不纳入3个工作日的计算时限。</w:t>
      </w:r>
      <w:bookmarkStart w:id="0" w:name="_GoBack"/>
      <w:bookmarkEnd w:id="0"/>
    </w:p>
    <w:p w14:paraId="034FE2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房建市政项目在 “招标文件（资审文件）是否提前公示”选择“否”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时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，系统将要求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招标人/代理机构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填写不提前公示的理由，并在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项目批复文件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中上传“招标文件（资审文件）不提前公示说明”（支持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.pdf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格式）。</w:t>
      </w:r>
    </w:p>
    <w:p w14:paraId="5BD581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drawing>
          <wp:inline distT="0" distB="0" distL="114300" distR="114300">
            <wp:extent cx="5263515" cy="2647950"/>
            <wp:effectExtent l="0" t="0" r="698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EBB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</w:p>
    <w:p w14:paraId="4CB1FC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</w:p>
    <w:p w14:paraId="4C33BD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</w:p>
    <w:p w14:paraId="77602EF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新增【招标文件（资审文件）提前公示】菜单</w:t>
      </w:r>
    </w:p>
    <w:p w14:paraId="015BB6A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在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【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招标方案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】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菜单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下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方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新增【招标文件（资审文件）提前公示】菜单，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招标人/招标代理机构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仅可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对招标项目方案页面中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“招标文件（资审文件）是否提前公示”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选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为“是”的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项目进行“招标文件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（资审文件）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提前公示”的发布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发布无需审核，提交并由招标人确认后发布至鄂州市公共资源交易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平台网站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首页。</w:t>
      </w:r>
    </w:p>
    <w:p w14:paraId="77409D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drawing>
          <wp:inline distT="0" distB="0" distL="114300" distR="114300">
            <wp:extent cx="5263515" cy="2647950"/>
            <wp:effectExtent l="0" t="0" r="6985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95E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</w:p>
    <w:p w14:paraId="0A5FDA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三、交易平台网站查看提前公示信息</w:t>
      </w:r>
    </w:p>
    <w:p w14:paraId="55B07E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鄂州市公共资源交易平台网站首页新增【招标文件（资审文件）提前公示】栏目。点击项目名称查看详情信息，项目详情页中，可点击下载“招标文件（资审文件）”与意见反馈表。</w:t>
      </w:r>
    </w:p>
    <w:p w14:paraId="6AA2DB8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drawing>
          <wp:inline distT="0" distB="0" distL="114300" distR="114300">
            <wp:extent cx="5263515" cy="2647950"/>
            <wp:effectExtent l="0" t="0" r="133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29DF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drawing>
          <wp:inline distT="0" distB="0" distL="114300" distR="114300">
            <wp:extent cx="5263515" cy="2647950"/>
            <wp:effectExtent l="0" t="0" r="133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941C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lang w:val="en-US" w:eastAsia="zh-CN"/>
        </w:rPr>
      </w:pPr>
    </w:p>
    <w:p w14:paraId="6729ED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</w:p>
    <w:p w14:paraId="7DE8CF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left"/>
        <w:textAlignment w:val="auto"/>
        <w:rPr>
          <w:rFonts w:hint="default"/>
          <w:lang w:val="en-US" w:eastAsia="zh-CN"/>
        </w:rPr>
      </w:pPr>
    </w:p>
    <w:p w14:paraId="63CF93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</w:p>
    <w:p w14:paraId="7F5471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2ECAB8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 w14:paraId="15E130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F69AE"/>
    <w:multiLevelType w:val="singleLevel"/>
    <w:tmpl w:val="DADF69A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29DC"/>
    <w:rsid w:val="03FA6D38"/>
    <w:rsid w:val="040B160F"/>
    <w:rsid w:val="08237503"/>
    <w:rsid w:val="0FE86135"/>
    <w:rsid w:val="1F6A2B6C"/>
    <w:rsid w:val="1FBB47BE"/>
    <w:rsid w:val="24A2753C"/>
    <w:rsid w:val="264B2FCC"/>
    <w:rsid w:val="267E514F"/>
    <w:rsid w:val="29A749BD"/>
    <w:rsid w:val="2BD61589"/>
    <w:rsid w:val="2CDC2BCF"/>
    <w:rsid w:val="3355548A"/>
    <w:rsid w:val="3C4650E6"/>
    <w:rsid w:val="3C797AF3"/>
    <w:rsid w:val="41A5507E"/>
    <w:rsid w:val="4A2358A4"/>
    <w:rsid w:val="4B9C1A50"/>
    <w:rsid w:val="4E165AE9"/>
    <w:rsid w:val="546F3220"/>
    <w:rsid w:val="5704378C"/>
    <w:rsid w:val="5813309A"/>
    <w:rsid w:val="5A3B68D8"/>
    <w:rsid w:val="60C07B37"/>
    <w:rsid w:val="637D1D0F"/>
    <w:rsid w:val="65293EFC"/>
    <w:rsid w:val="6D3E42BD"/>
    <w:rsid w:val="6FAC7C04"/>
    <w:rsid w:val="70932B72"/>
    <w:rsid w:val="71CE6E7D"/>
    <w:rsid w:val="7662726E"/>
    <w:rsid w:val="79C97604"/>
    <w:rsid w:val="7AC322A6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558</Words>
  <Characters>563</Characters>
  <Lines>0</Lines>
  <Paragraphs>0</Paragraphs>
  <TotalTime>0</TotalTime>
  <ScaleCrop>false</ScaleCrop>
  <LinksUpToDate>false</LinksUpToDate>
  <CharactersWithSpaces>566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2025-09-25T12:57:00Z</dcterms:created>
  <dc:creator>cdhua</dc:creator>
  <cp:lastModifiedBy>candice</cp:lastModifiedBy>
  <dcterms:modified xsi:type="dcterms:W3CDTF">2025-09-26T02:22:22Z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eyJoZGlkIjoiY2IzOTU5YzJiN2UxNGZkNWU2MjdhMWY1Y2U0M2QwOTUiLCJ1c2VySWQiOiI1MjQzODQzNjYifQ==</vt:lpwstr>
  </property>
  <property fmtid="{D5CDD505-2E9C-101B-9397-08002B2CF9AE}" pid="4" name="ICV">
    <vt:lpwstr>AA19A6807C6F43F5B98CBCB7E7C976D2_12</vt:lpwstr>
  </property>
</Properties>
</file>